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Доклад о ходе </w:t>
      </w:r>
      <w:r>
        <w:rPr>
          <w:rFonts w:ascii="Times New Roman" w:hAnsi="Times New Roman"/>
          <w:sz w:val="28"/>
          <w:szCs w:val="28"/>
          <w:highlight w:val="white"/>
        </w:rPr>
        <w:t xml:space="preserve">реализации муниципальной программы «Экономическое развитие и инновационная экономика муниципального образования Каневской район на 2019-2024 годы» (ут</w:t>
      </w:r>
      <w:r>
        <w:rPr>
          <w:rFonts w:ascii="Times New Roman" w:hAnsi="Times New Roman"/>
          <w:sz w:val="28"/>
          <w:szCs w:val="28"/>
          <w:highlight w:val="none"/>
        </w:rPr>
        <w:t xml:space="preserve">верждена постановлением администрации муниципального образования Каневской район от 28.09.2018 года №1404)</w:t>
      </w:r>
      <w:r>
        <w:rPr>
          <w:highlight w:val="none"/>
        </w:rPr>
      </w:r>
    </w:p>
    <w:p>
      <w:pPr>
        <w:ind w:firstLine="708"/>
        <w:jc w:val="center"/>
        <w:spacing w:lineRule="auto" w:line="240" w:after="0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 итогам </w:t>
      </w:r>
      <w:r>
        <w:rPr>
          <w:rFonts w:ascii="Times New Roman" w:hAnsi="Times New Roman"/>
          <w:sz w:val="28"/>
          <w:szCs w:val="28"/>
          <w:highlight w:val="none"/>
        </w:rPr>
        <w:t xml:space="preserve">2022 </w:t>
      </w:r>
      <w:r>
        <w:rPr>
          <w:rFonts w:ascii="Times New Roman" w:hAnsi="Times New Roman"/>
          <w:sz w:val="28"/>
          <w:szCs w:val="28"/>
          <w:highlight w:val="none"/>
        </w:rPr>
        <w:t xml:space="preserve">года</w:t>
      </w:r>
      <w:r>
        <w:rPr>
          <w:highlight w:val="none"/>
        </w:rPr>
      </w:r>
    </w:p>
    <w:p>
      <w:pPr>
        <w:ind w:firstLine="708"/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08"/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/>
          <w:color w:val="000000"/>
          <w:sz w:val="28"/>
          <w:highlight w:val="none"/>
          <w:shd w:val="clear" w:fill="FFFFFF" w:color="auto"/>
        </w:rPr>
        <w:t xml:space="preserve">В целях создания благоприятного предпринимательского климата и условий для ведения бизнеса, повышения </w:t>
      </w:r>
      <w:r>
        <w:rPr>
          <w:rFonts w:ascii="Times New Roman" w:hAnsi="Times New Roman"/>
          <w:color w:val="000000"/>
          <w:sz w:val="28"/>
          <w:highlight w:val="none"/>
          <w:shd w:val="clear" w:fill="FFFFFF" w:color="auto"/>
        </w:rPr>
        <w:t xml:space="preserve">инвестиционной</w:t>
      </w:r>
      <w:r>
        <w:rPr>
          <w:rFonts w:ascii="Times New Roman" w:hAnsi="Times New Roman"/>
          <w:color w:val="000000"/>
          <w:sz w:val="28"/>
          <w:highlight w:val="none"/>
          <w:shd w:val="clear" w:fill="FFFFFF" w:color="auto"/>
        </w:rPr>
        <w:t xml:space="preserve"> </w:t>
      </w:r>
      <w:r>
        <w:rPr>
          <w:rFonts w:ascii="Times New Roman" w:hAnsi="Times New Roman"/>
          <w:color w:val="000000"/>
          <w:sz w:val="28"/>
          <w:highlight w:val="none"/>
          <w:shd w:val="clear" w:fill="FFFFFF" w:color="auto"/>
        </w:rPr>
        <w:t xml:space="preserve">активности бизнеса и реализации государственной политики, направленной на поддержку и развитие малого и среднего пред</w:t>
      </w:r>
      <w:r>
        <w:rPr>
          <w:rFonts w:ascii="Times New Roman" w:hAnsi="Times New Roman"/>
          <w:color w:val="000000"/>
          <w:sz w:val="28"/>
          <w:highlight w:val="none"/>
          <w:shd w:val="clear" w:fill="FFFFFF" w:color="auto"/>
        </w:rPr>
        <w:t xml:space="preserve">принимательства на территории Каневского района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 в 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2022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 году реализовывалась</w:t>
      </w:r>
      <w:r>
        <w:rPr>
          <w:rFonts w:ascii="Times New Roman" w:hAnsi="Times New Roman"/>
          <w:sz w:val="28"/>
          <w:szCs w:val="28"/>
          <w:highlight w:val="none"/>
        </w:rPr>
        <w:t xml:space="preserve"> муниципальная программа «Экономическое развитие и инновационная экономика муниципального образования Каневской район на 2019-2024 годы», которая включает в себя две подпрограммы:</w:t>
      </w:r>
      <w:r>
        <w:rPr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) Подпрограмма </w:t>
      </w:r>
      <w:r>
        <w:rPr>
          <w:rFonts w:ascii="Times New Roman" w:hAnsi="Times New Roman"/>
          <w:bCs/>
          <w:sz w:val="28"/>
          <w:szCs w:val="28"/>
          <w:highlight w:val="none"/>
          <w:shd w:val="clear" w:fill="FFFFFF" w:color="auto"/>
          <w:lang w:eastAsia="ar-SA"/>
        </w:rPr>
        <w:t xml:space="preserve">«Муниципальная поддержка субъектов малого и среднего предпринимательства в муниципальном образовании Каневской район на 2019-2024 годы»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. За 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2022 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год на поддержку малого и среднего предпринимательства направлено 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353,8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 тыс. рублей, из них по м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ероприятиям:</w:t>
      </w:r>
      <w:r>
        <w:rPr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оказание </w:t>
      </w:r>
      <w:r>
        <w:rPr>
          <w:rFonts w:ascii="Times New Roman" w:hAnsi="Times New Roman"/>
          <w:sz w:val="28"/>
          <w:highlight w:val="none"/>
          <w:shd w:val="clear" w:fill="FFFFFF" w:color="auto"/>
          <w:lang w:eastAsia="ar-SA"/>
        </w:rPr>
        <w:t xml:space="preserve">информационных, 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консультационных  услуг субъектам малого и среднего предпринимательства – 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338,0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 тыс. рублей, средства местного бюджета;</w:t>
      </w:r>
      <w:r>
        <w:rPr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оказание услуг по предоставлению рабочих мест в коворкинг-центре субъектам малого и среднего предп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– 15,8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shd w:val="clear" w:fill="FFFFFF" w:color="auto"/>
          <w:lang w:eastAsia="ar-SA"/>
        </w:rPr>
        <w:t xml:space="preserve">тыс. рублей, средства местного бюджета.</w:t>
      </w:r>
      <w:r>
        <w:rPr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рамках муниципальной программы создан муниципальн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ый Центр поддержки предпринимательства в Каневском районе.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Количество предоставленных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консультационных услуг составило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260 единиц, что на 4,8 % больше предыдущего года.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В отчетном периоде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с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оздан коворкинг-центр, в котором оказываются услуги по предоставлен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ию рабочих мест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Количество оказанных услуг по предоставлению р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абочих мест в коворкинг-центре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составило 493 часа.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Style w:val="833"/>
          <w:rFonts w:ascii="Times New Roman" w:hAnsi="Times New Roman" w:eastAsiaTheme="minorHAnsi"/>
          <w:b w:val="false"/>
          <w:sz w:val="28"/>
          <w:highlight w:val="none"/>
        </w:rPr>
        <w:t xml:space="preserve">Мероприятия </w:t>
      </w:r>
      <w:r>
        <w:rPr>
          <w:rStyle w:val="833"/>
          <w:rFonts w:ascii="Times New Roman" w:hAnsi="Times New Roman" w:eastAsiaTheme="minorHAnsi"/>
          <w:b w:val="false"/>
          <w:sz w:val="28"/>
          <w:highlight w:val="none"/>
        </w:rPr>
        <w:t xml:space="preserve">подпрограммы,</w:t>
      </w:r>
      <w:r>
        <w:rPr>
          <w:rStyle w:val="833"/>
          <w:rFonts w:ascii="Times New Roman" w:hAnsi="Times New Roman" w:eastAsiaTheme="minorHAnsi"/>
          <w:b w:val="false"/>
          <w:sz w:val="28"/>
          <w:highlight w:val="none"/>
        </w:rPr>
        <w:t xml:space="preserve"> не требующие бюджетного финансирования (организация работы телефона «горячая линия» по вопросам деятельности малого и среднего предпринимательства; предоставление сведений о субъектах малого и среднего предпринимательства </w:t>
      </w:r>
      <w:r>
        <w:rPr>
          <w:rStyle w:val="833"/>
          <w:rFonts w:ascii="Times New Roman" w:hAnsi="Times New Roman" w:eastAsiaTheme="minorHAnsi"/>
          <w:b w:val="false"/>
          <w:sz w:val="28"/>
          <w:highlight w:val="none"/>
          <w:lang w:eastAsia="ru-RU"/>
        </w:rPr>
        <w:t xml:space="preserve">и физических лицах, </w:t>
      </w:r>
      <w:r>
        <w:rPr>
          <w:rStyle w:val="833"/>
          <w:rFonts w:ascii="Times New Roman" w:hAnsi="Times New Roman" w:eastAsiaTheme="minorHAnsi"/>
          <w:b w:val="false"/>
          <w:sz w:val="28"/>
          <w:highlight w:val="none"/>
          <w:lang w:eastAsia="ru-RU"/>
        </w:rPr>
        <w:t xml:space="preserve">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Style w:val="833"/>
          <w:rFonts w:ascii="Times New Roman" w:hAnsi="Times New Roman" w:eastAsiaTheme="minorHAnsi"/>
          <w:b w:val="false"/>
          <w:sz w:val="28"/>
          <w:highlight w:val="none"/>
          <w:lang w:eastAsia="ru-RU"/>
        </w:rPr>
        <w:t xml:space="preserve"> </w:t>
      </w:r>
      <w:r>
        <w:rPr>
          <w:rStyle w:val="833"/>
          <w:rFonts w:ascii="Times New Roman" w:hAnsi="Times New Roman" w:eastAsiaTheme="minorHAnsi"/>
          <w:b w:val="false"/>
          <w:sz w:val="28"/>
          <w:highlight w:val="none"/>
        </w:rPr>
        <w:t xml:space="preserve">в </w:t>
      </w:r>
      <w:r>
        <w:rPr>
          <w:rStyle w:val="833"/>
          <w:rFonts w:ascii="Times New Roman" w:hAnsi="Times New Roman" w:eastAsiaTheme="minorHAnsi"/>
          <w:b w:val="false"/>
          <w:sz w:val="28"/>
          <w:highlight w:val="none"/>
        </w:rPr>
        <w:t xml:space="preserve">Федеральный орган исполнительной власти, осуществляющий функции по контролю и надзору за соблюдением законодательства о налогах и с</w:t>
      </w:r>
      <w:r>
        <w:rPr>
          <w:rStyle w:val="833"/>
          <w:rFonts w:ascii="Times New Roman" w:hAnsi="Times New Roman" w:eastAsiaTheme="minorHAnsi"/>
          <w:b w:val="false"/>
          <w:sz w:val="28"/>
          <w:highlight w:val="none"/>
        </w:rPr>
        <w:t xml:space="preserve">борах в целях ведения Единого реестра субъектов малого и среднего предпринимательства - получателей поддержки) выполнены в полном объеме.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tLeast" w:line="283" w:after="0"/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</w:rPr>
      </w:pP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В 2022 году на территории всех сельских поселений Каневского района проведены информационные мероприятия с участием Це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нтра поддержки предпринимательства, специалистов администрации Каневского района и сельских поселений.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 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Кроме того, проведено 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4 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заседания «Совета по предпринимательству», 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6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 конференций, 18 совещаний по вопросам предпринимательства в 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различных сферах деятельности, 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24 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семинара,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 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13 «Дней открытых дверей» (для субъектов малого и среднего предпринимательства в сельском хозяйстве)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, на которых рассматривались вопросы органи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зации и ведения деятельности субъектов малого и среднего предпринимат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ельства, обсуждалась реализация нормативных правовых актов в области предпринимательства, рассказывалось о работе муниципального Центра поддержки предпринимательства, услугах Федеральной корпорации по развитию малого и среднего предпринимательства, деятель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ности Фонда микрофинансирования Краснодарского края, а также Фонда развития бизнеса Краснодарского края, Инновационном центре и 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к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  <w:shd w:val="clear" w:fill="FFFFFF" w:color="auto"/>
          <w:lang w:eastAsia="ar-SA"/>
        </w:rPr>
        <w:t xml:space="preserve">оворкинг-центре.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В кредитных ор</w:t>
      </w:r>
      <w:bookmarkStart w:id="0" w:name="_GoBack"/>
      <w:r>
        <w:rPr>
          <w:rFonts w:eastAsiaTheme="minorHAnsi"/>
          <w:highlight w:val="none"/>
        </w:rPr>
      </w:r>
      <w:bookmarkEnd w:id="0"/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ганизациях и филиале ГАУ КК «МФЦ КК» в Каневском районе размещены листовки для предпринимателей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с указанием форм и видов поддержки и контактной информации. В настоящее время в МФЦ функционируют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2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окна для приема и обслуживания субъектов малого и среднего предпринимательства.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В администрациях сельских поселений размещены уголки для предпринимателей с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информацией о нормативной правовой документации, о формах и видах поддержки, об общественных организациях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,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 оказывающих содействие в развитии предпринимательства, контактная информация сотрудников администрации МО Каневской район, отвечающих за развитие мало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го и среднего предпринимательства. На здании администрации МО Каневской район и всех сельских администраций размещены «ящики доверия» для предпринимателей. За отчетный период в «ящик доверия» обращений не поступало.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В администрации МО Каневской район работ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ает телефон «горячей линии», информация о котором размещена на инвестиционном портале муниципального образования Каневской район (</w:t>
      </w:r>
      <w:r>
        <w:rPr>
          <w:rFonts w:ascii="Times New Roman" w:hAnsi="Times New Roman" w:eastAsiaTheme="minorHAnsi"/>
          <w:sz w:val="28"/>
          <w:szCs w:val="28"/>
          <w:highlight w:val="none"/>
          <w:lang w:val="en-US" w:eastAsia="ar-SA"/>
        </w:rPr>
        <w:t xml:space="preserve">www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.</w:t>
      </w:r>
      <w:r>
        <w:rPr>
          <w:rFonts w:ascii="Times New Roman" w:hAnsi="Times New Roman" w:eastAsiaTheme="minorHAnsi"/>
          <w:sz w:val="28"/>
          <w:szCs w:val="28"/>
          <w:highlight w:val="none"/>
          <w:lang w:val="en-US" w:eastAsia="ar-SA"/>
        </w:rPr>
        <w:t xml:space="preserve">kaninvest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.</w:t>
      </w:r>
      <w:r>
        <w:rPr>
          <w:rFonts w:ascii="Times New Roman" w:hAnsi="Times New Roman" w:eastAsiaTheme="minorHAnsi"/>
          <w:sz w:val="28"/>
          <w:szCs w:val="28"/>
          <w:highlight w:val="none"/>
          <w:lang w:val="en-US" w:eastAsia="ar-SA"/>
        </w:rPr>
        <w:t xml:space="preserve">ru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), публикуется в газете и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Телеграм-канале управления экономики администрации муниципального образования Каневс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кой район.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Ведется Журнал учета обращений граждан 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и предпринимателей на телефон «г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орячая линия». За отчетный период рассмотрено 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99 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обращений, из них по телефону «г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орячей линия» - 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57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, «устные обращения» - 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41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«письменные обращения» -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 1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none"/>
        </w:rPr>
        <w:t xml:space="preserve">В «ящик доверия» обращения не поступали.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В общественно-политической газете Каневского района «Каневские зори» и газете Каневской телевизионной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студии «10-й канал» за отчетный период опубликовано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56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 материалов, касающихся вопросов предпринимательства.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Каневской телестудией подготовлено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14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сюжетов для новостной программы «Вовремя» и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«Вовремя-неделя»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.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Размещено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 н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а официальном сайте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администрации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муниципального образования Каневской район и инвестиционном портале администрации муниципального образования Каневской район,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 а также в Телеграм-канале управления экономики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-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604 публикации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, касающихся предпринимательской деятельности.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По состоянию на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1 января 2023 года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 в муниципальном образовании Каневской район количество субъектов малого и среднего предпринимательства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увеличилось на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2,56 %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 и составило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3286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единиц по сравнени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ю с предыдущим годом.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pStyle w:val="842"/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Численность индивидуальных предпринимателей возросла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на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2,89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 % и составила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2922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единицы.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Основные виды эк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ономической деятельности связан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ы с оптовой и розничной торговлей, сельским, лесным хозяйством, охотой, рыболовством и рыбоводством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, транспортировкой и хранением.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В отчетном периоде количество малых предприятий (юридические лица) осталось без изменений и составило 356 единиц.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Число средних предприятий осталось на уровне прошлого года - 8 единиц.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Доля субъектов малого и среднего предпринимательства в общем количестве хозяйствующих субъектов Каневского района выросла на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2,83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% и составила –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86,5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%.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По состоянию на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1 января 2023 года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на малых и средних предприятиях муниципального образования Каневско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й район трудится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8544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 человека, что на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0,95 %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 выше уровня прошлого года.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Доля численности населения, занятого в малом и среднем предпринимательстве в численности населения, занятого в экономике муниципального образования Каневской район, выросла на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0,17 %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(21,6%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).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Количество субъектов  малого и среднего предпринимательства в расчете на 1000 человек населения муниципального образования Каневской район составило 33,6 единицы, что на 4,3 % выше уровня прошлого года.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Мероприятия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подпрограммы </w:t>
      </w:r>
      <w:r>
        <w:rPr>
          <w:rFonts w:ascii="Times New Roman" w:hAnsi="Times New Roman" w:eastAsiaTheme="minorHAnsi"/>
          <w:bCs/>
          <w:sz w:val="28"/>
          <w:szCs w:val="28"/>
          <w:highlight w:val="none"/>
          <w:shd w:val="clear" w:fill="FFFFFF" w:color="auto"/>
          <w:lang w:eastAsia="ar-SA"/>
        </w:rPr>
        <w:t xml:space="preserve">«Муниципальная поддержка субъектов малого и среднего предпринимательства в муниципальном образовании Каневской район на 2019-2024 годы» выполнены </w:t>
      </w:r>
      <w:r>
        <w:rPr>
          <w:rFonts w:ascii="Times New Roman" w:hAnsi="Times New Roman" w:eastAsiaTheme="minorHAnsi"/>
          <w:bCs/>
          <w:sz w:val="28"/>
          <w:szCs w:val="28"/>
          <w:highlight w:val="none"/>
          <w:shd w:val="clear" w:fill="FFFFFF" w:color="auto"/>
          <w:lang w:eastAsia="ar-SA"/>
        </w:rPr>
        <w:t xml:space="preserve">в полном объеме</w:t>
      </w:r>
      <w:r>
        <w:rPr>
          <w:rFonts w:ascii="Times New Roman" w:hAnsi="Times New Roman" w:eastAsiaTheme="minorHAnsi"/>
          <w:bCs/>
          <w:sz w:val="28"/>
          <w:szCs w:val="28"/>
          <w:highlight w:val="none"/>
          <w:shd w:val="clear" w:fill="FFFFFF" w:color="auto"/>
          <w:lang w:eastAsia="ar-SA"/>
        </w:rPr>
        <w:t xml:space="preserve">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2) Подпрограмма «Формирование и продвижение экономически и инвестиционно привлекательного образа муниципально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го образования Каневской район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на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 2019-2024 годы». </w:t>
      </w:r>
      <w:r>
        <w:rPr>
          <w:rFonts w:ascii="Times New Roman" w:hAnsi="Times New Roman" w:eastAsiaTheme="minorHAnsi"/>
          <w:bCs/>
          <w:sz w:val="28"/>
          <w:szCs w:val="28"/>
          <w:highlight w:val="none"/>
          <w:shd w:val="clear" w:fill="FFFFFF" w:color="auto"/>
          <w:lang w:eastAsia="ar-SA"/>
        </w:rPr>
        <w:t xml:space="preserve">В рамках подпрограммы в </w:t>
      </w:r>
      <w:r>
        <w:rPr>
          <w:rFonts w:ascii="Times New Roman" w:hAnsi="Times New Roman" w:eastAsiaTheme="minorHAnsi"/>
          <w:bCs/>
          <w:sz w:val="28"/>
          <w:szCs w:val="28"/>
          <w:highlight w:val="none"/>
          <w:shd w:val="clear" w:fill="FFFFFF" w:color="auto"/>
          <w:lang w:eastAsia="ar-SA"/>
        </w:rPr>
        <w:t xml:space="preserve">2022</w:t>
      </w:r>
      <w:r>
        <w:rPr>
          <w:rFonts w:ascii="Times New Roman" w:hAnsi="Times New Roman" w:eastAsiaTheme="minorHAnsi"/>
          <w:bCs/>
          <w:sz w:val="28"/>
          <w:szCs w:val="28"/>
          <w:highlight w:val="none"/>
          <w:shd w:val="clear" w:fill="FFFFFF" w:color="auto"/>
          <w:lang w:eastAsia="ar-SA"/>
        </w:rPr>
        <w:t xml:space="preserve"> году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направлено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289,3 тыс. руб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., из них по мероприятиям: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- модернизация и поддержка инвестиционного портала администрации муниципального образования Каневской район –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289,3 тыс. руб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.;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Мероприятия подпрограммы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«Формирование и продвижение экономически и инвестиционно привлекательного образа муниципал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ьно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го образования Каневской район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на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 2019-2024 годы»</w:t>
      </w:r>
      <w:r>
        <w:rPr>
          <w:rFonts w:ascii="Times New Roman" w:hAnsi="Times New Roman" w:eastAsiaTheme="minorHAnsi"/>
          <w:bCs/>
          <w:sz w:val="28"/>
          <w:szCs w:val="28"/>
          <w:highlight w:val="none"/>
          <w:shd w:val="clear" w:fill="FFFFFF" w:color="auto"/>
          <w:lang w:eastAsia="ar-SA"/>
        </w:rPr>
        <w:t xml:space="preserve"> выполнены в полном объеме.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bidi="hi-IN" w:eastAsia="hi-IN"/>
        </w:rPr>
        <w:t xml:space="preserve">В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bidi="hi-IN" w:eastAsia="hi-IN"/>
        </w:rPr>
        <w:t xml:space="preserve">2022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bidi="hi-IN" w:eastAsia="hi-IN"/>
        </w:rPr>
        <w:t xml:space="preserve">году муниципальное образование Каневской район приняло участие в Агропромышленных выставках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bidi="hi-IN" w:eastAsia="hi-IN"/>
        </w:rPr>
        <w:t xml:space="preserve">«Золотая Нива - 2022» и «Кубанская ярмарка - 2022»</w:t>
      </w:r>
      <w:r>
        <w:rPr>
          <w:rFonts w:eastAsiaTheme="minorHAnsi"/>
          <w:highlight w:val="none"/>
        </w:rPr>
        <w:t xml:space="preserve">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В 2022 году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bidi="hi-IN" w:eastAsia="ar-SA"/>
        </w:rPr>
        <w:t xml:space="preserve">заключено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bidi="hi-IN" w:eastAsia="ar-SA"/>
        </w:rPr>
        <w:t xml:space="preserve"> 2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протокола о намерениях по взаимодействию в сфере инвестиций </w:t>
      </w:r>
      <w:r>
        <w:rPr>
          <w:rFonts w:ascii="Times New Roman" w:hAnsi="Times New Roman" w:cs="DejaVu Sans Condensed" w:eastAsiaTheme="minorHAnsi"/>
          <w:sz w:val="28"/>
          <w:szCs w:val="24"/>
          <w:highlight w:val="none"/>
          <w:shd w:val="clear" w:fill="FFFFFF" w:color="auto"/>
          <w:lang w:bidi="hi-IN" w:eastAsia="hi-IN"/>
        </w:rPr>
        <w:t xml:space="preserve">с</w:t>
      </w:r>
      <w:r>
        <w:rPr>
          <w:rFonts w:ascii="Times New Roman" w:hAnsi="Times New Roman" w:cs="DejaVu Sans Condensed" w:eastAsiaTheme="minorHAnsi"/>
          <w:sz w:val="28"/>
          <w:szCs w:val="24"/>
          <w:highlight w:val="none"/>
          <w:shd w:val="clear" w:fill="FFFFFF" w:color="auto"/>
          <w:lang w:bidi="hi-IN" w:eastAsia="hi-IN"/>
        </w:rPr>
        <w:t xml:space="preserve"> ООО фирма «Калория» на сумму 150 млн. руб. и ИП Даллакян К.А. на сумму 50 млн. руб.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В соответствии с приказом департамента инвестиций и развития малого и среднег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о предпринимательства Краснодарского края от 31 января 2016 года    № 82 «Об утверждении Положения о Единой системе инвестиционных предложений Краснодарского края» сформирован перечень инвестиционных предложений, в который входят 3 инвестиционно привлекате</w:t>
      </w:r>
      <w:r>
        <w:rPr>
          <w:rFonts w:ascii="Times New Roman" w:hAnsi="Times New Roman" w:eastAsiaTheme="minorHAnsi"/>
          <w:sz w:val="28"/>
          <w:szCs w:val="28"/>
          <w:highlight w:val="none"/>
          <w:lang w:eastAsia="ar-SA"/>
        </w:rPr>
        <w:t xml:space="preserve">льных земельных участка и 1 инвестиционный проект</w:t>
      </w:r>
      <w:r>
        <w:rPr>
          <w:rFonts w:ascii="Times New Roman" w:hAnsi="Times New Roman" w:cs="Tahoma" w:eastAsiaTheme="minorHAnsi"/>
          <w:sz w:val="28"/>
          <w:szCs w:val="28"/>
          <w:highlight w:val="none"/>
          <w:shd w:val="clear" w:fill="FFFFFF" w:color="auto"/>
        </w:rPr>
        <w:t xml:space="preserve"> «Завод по переработке подсолнечника».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Объем инвестиций в основной капитал за счет всех источников финансирования по итогам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2022 года составил 3887,1 млн. руб., что составляет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90,9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% к уровню 2021 года.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Уменьшение объема инвестиций связано с завершением реализации крупного инвестиционного проекта «Строительство молочного комплекса на 3000 голов» на сумму более 2 млрд. руб.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Значительный объем инвестиций, как и в предыдущие годы, приходится на промышленност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ь и сельское хозяйство.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 xml:space="preserve">Все средства направлены на модернизацию действующих производств,  обновление сельскохозяйственной техники, машинно-тракторных парков и оборудования, развитие животноводческого производства (ООО фирма «Калория», ООО «Консервное предп</w:t>
      </w: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 xml:space="preserve">риятие «Русское поле - Албаши», ПАО «Родина»,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 xml:space="preserve">АО «Виктория - Агро»</w:t>
      </w: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 xml:space="preserve">, ОАО Дружба, ОАО «Агрофирма-племзавод Победа», ОАО АФП «Нива», ЗАО ПЗ «Воля»).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Муниципальная подпрограмма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«Формирование и продвижение экономически и инвестиционно привлекательного образа му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ниципального образования Каневской район 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на</w:t>
      </w:r>
      <w:r>
        <w:rPr>
          <w:rFonts w:ascii="Times New Roman" w:hAnsi="Times New Roman" w:eastAsiaTheme="minorHAnsi"/>
          <w:sz w:val="28"/>
          <w:szCs w:val="28"/>
          <w:highlight w:val="none"/>
          <w:shd w:val="clear" w:fill="FFFFFF" w:color="auto"/>
          <w:lang w:eastAsia="ar-SA"/>
        </w:rPr>
        <w:t xml:space="preserve"> 2019-2024 годы»</w:t>
      </w:r>
      <w:r>
        <w:rPr>
          <w:rFonts w:ascii="Times New Roman" w:hAnsi="Times New Roman" w:eastAsiaTheme="minorHAnsi"/>
          <w:bCs/>
          <w:sz w:val="28"/>
          <w:szCs w:val="28"/>
          <w:highlight w:val="none"/>
          <w:shd w:val="clear" w:fill="FFFFFF" w:color="auto"/>
          <w:lang w:eastAsia="ar-SA"/>
        </w:rPr>
        <w:t xml:space="preserve"> выполнена на 100% от запланированного объема.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Оценка эффективности реализации муниципальной программы «Экономическое развитие и инновационная экономика муниципального образования Каневской район на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2019-2024 годы» от 28.09.2018 года №1404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приведена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в приложении.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tbl>
      <w:tblPr>
        <w:tblW w:w="9888" w:type="dxa"/>
        <w:tblInd w:w="-142" w:type="dxa"/>
        <w:tblLook w:val="0000" w:firstRow="0" w:lastRow="0" w:firstColumn="0" w:lastColumn="0" w:noHBand="0" w:noVBand="0"/>
      </w:tblPr>
      <w:tblGrid>
        <w:gridCol w:w="7338"/>
        <w:gridCol w:w="2550"/>
      </w:tblGrid>
      <w:tr>
        <w:trPr/>
        <w:tc>
          <w:tcPr>
            <w:shd w:val="clear" w:fill="auto" w:color="auto"/>
            <w:tcW w:w="7338" w:type="dxa"/>
            <w:textDirection w:val="lrTb"/>
            <w:noWrap/>
          </w:tcPr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 управления экономики </w:t>
            </w:r>
            <w:r>
              <w:rPr>
                <w:highlight w:val="none"/>
              </w:rPr>
            </w:r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дминистрации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муниципального </w:t>
            </w:r>
            <w:r>
              <w:rPr>
                <w:highlight w:val="none"/>
              </w:rPr>
            </w:r>
          </w:p>
          <w:p>
            <w:pPr>
              <w:spacing w:lineRule="auto" w:line="240" w:after="0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образования Каневской район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br/>
            </w:r>
            <w:r>
              <w:rPr>
                <w:highlight w:val="none"/>
              </w:rPr>
            </w:r>
          </w:p>
        </w:tc>
        <w:tc>
          <w:tcPr>
            <w:shd w:val="clear" w:fill="auto" w:color="auto"/>
            <w:tcW w:w="2550" w:type="dxa"/>
            <w:textDirection w:val="lrTb"/>
            <w:noWrap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О.И. Пужильная</w:t>
            </w:r>
            <w:r>
              <w:rPr>
                <w:highlight w:val="none"/>
              </w:rPr>
            </w:r>
          </w:p>
        </w:tc>
      </w:tr>
    </w:tbl>
    <w:p>
      <w:pPr>
        <w:jc w:val="both"/>
        <w:spacing w:lineRule="auto" w:line="240" w:after="0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                                                                                                        Приложение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highlight w:val="none"/>
          <w:lang w:eastAsia="ru-RU"/>
        </w:rPr>
        <w:t xml:space="preserve">Оценка эффективности реализации муниципальной программы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«Экономическое развитие и инновационная экономика муниципального образования Каневс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кой район на 2019-2024 годы» от 28.09.2018 года №1404,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highlight w:val="none"/>
        </w:rPr>
        <w:outlineLvl w:val="0"/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по итогам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2022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года.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eastAsiaTheme="minorHAnsi"/>
          <w:highlight w:val="none"/>
        </w:rPr>
      </w:r>
      <w:bookmarkStart w:id="1" w:name="sub_1011"/>
      <w:r>
        <w:rPr>
          <w:rFonts w:eastAsiaTheme="minorHAnsi"/>
          <w:highlight w:val="none"/>
        </w:rPr>
      </w:r>
      <w:bookmarkEnd w:id="1"/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ором в составе ежегодного доклада о ходе реализации муниципальной программы и об оценке эффективности ее реализации.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eastAsiaTheme="minorHAnsi"/>
          <w:highlight w:val="none"/>
        </w:rPr>
      </w:r>
      <w:bookmarkStart w:id="2" w:name="sub_10111"/>
      <w:r>
        <w:rPr>
          <w:rFonts w:eastAsiaTheme="minorHAnsi"/>
          <w:highlight w:val="none"/>
        </w:rPr>
      </w:r>
      <w:bookmarkStart w:id="3" w:name="sub_1012"/>
      <w:r>
        <w:rPr>
          <w:rFonts w:eastAsiaTheme="minorHAnsi"/>
          <w:highlight w:val="none"/>
        </w:rPr>
      </w:r>
      <w:bookmarkEnd w:id="2"/>
      <w:r>
        <w:rPr>
          <w:rFonts w:eastAsiaTheme="minorHAnsi"/>
          <w:highlight w:val="none"/>
        </w:rPr>
      </w:r>
      <w:bookmarkEnd w:id="3"/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1.2. Оценка эффективности реализации муниципальной программы осуществляется в два этапа.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eastAsiaTheme="minorHAnsi"/>
          <w:highlight w:val="none"/>
        </w:rPr>
      </w:r>
      <w:bookmarkStart w:id="4" w:name="sub_10121"/>
      <w:r>
        <w:rPr>
          <w:rFonts w:eastAsiaTheme="minorHAnsi"/>
          <w:highlight w:val="none"/>
        </w:rPr>
      </w:r>
      <w:bookmarkEnd w:id="4"/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1.2.1. На первом этапе осуществляется оценка эффек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тивности реализации каждой из подпрограмм, ведомственных целевых программ, основных мероприятий, включенных в муниципальную программу, и включает:</w:t>
      </w:r>
      <w:bookmarkStart w:id="5" w:name="sub_101211"/>
      <w:r>
        <w:rPr>
          <w:rFonts w:eastAsiaTheme="minorHAnsi"/>
          <w:highlight w:val="none"/>
        </w:rPr>
      </w:r>
      <w:bookmarkEnd w:id="5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оценку степени реализации мероприятий подпрограмм (ведомственных целевых программ, основных мероприятий) и до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стижения ожидаемых непосредственных результатов их реализации;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оценку степени соответствия запланированному уровню расходов;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оценку эффективности использования средств местного бюджета;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оценку степени достижения целей и решения задач подпрограмм, ведомстве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1.2.2. На втором этапе осуществляется оценка эффективности реализации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муниципальной программы в целом, включая оценку степени достижения целей и решения задач муниципальной программы.</w:t>
      </w:r>
      <w:bookmarkStart w:id="6" w:name="sub_10122"/>
      <w:r>
        <w:rPr>
          <w:rFonts w:eastAsiaTheme="minorHAnsi"/>
          <w:highlight w:val="none"/>
        </w:rPr>
      </w:r>
      <w:bookmarkEnd w:id="6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highlight w:val="none"/>
          <w:lang w:eastAsia="ru-RU"/>
        </w:rPr>
        <w:t xml:space="preserve">2. Оценка степени реализации мероприятий подпрограмм (ведомственных целевых программ, основных мероприятий) и достижения ожидаемых непосредст</w:t>
      </w:r>
      <w:r>
        <w:rPr>
          <w:rFonts w:ascii="Times New Roman" w:hAnsi="Times New Roman" w:eastAsiaTheme="minorHAnsi"/>
          <w:bCs/>
          <w:sz w:val="28"/>
          <w:szCs w:val="28"/>
          <w:highlight w:val="none"/>
          <w:lang w:eastAsia="ru-RU"/>
        </w:rPr>
        <w:t xml:space="preserve">венных результатов их реализации</w:t>
      </w:r>
      <w:bookmarkStart w:id="7" w:name="sub_102"/>
      <w:r>
        <w:rPr>
          <w:rFonts w:eastAsiaTheme="minorHAnsi"/>
          <w:highlight w:val="none"/>
        </w:rPr>
      </w:r>
      <w:bookmarkEnd w:id="7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2.1. Степень реализации мероприятий оценивается для каждой подпрограммы (ведомственной целевой программы, основного мероприятия), как доля мероприятий выполненных в полном объеме по следующей формуле:</w:t>
      </w:r>
      <w:bookmarkStart w:id="8" w:name="sub_1021"/>
      <w:r>
        <w:rPr>
          <w:rFonts w:eastAsiaTheme="minorHAnsi"/>
          <w:highlight w:val="none"/>
        </w:rPr>
      </w:r>
      <w:bookmarkEnd w:id="8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СРм = Мв / М, где: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СРм - степень реализации мероприятий;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Мв - количество мероприятий, выполненных в полном объеме, из числа мероприятий, запланированных к реализации в отчетном году;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М - общее количество мероприятий, запланированных к реализации в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отчетном году.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Подпрограмма</w:t>
      </w: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 1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 = 4 / 4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Подпрограмма 2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  <w:t xml:space="preserve">1 = 2 / 2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eastAsiaTheme="minorHAnsi"/>
          <w:highlight w:val="none"/>
        </w:rPr>
      </w:r>
      <w:bookmarkStart w:id="9" w:name="sub_1022"/>
      <w:r>
        <w:rPr>
          <w:rFonts w:eastAsiaTheme="minorHAnsi"/>
          <w:highlight w:val="none"/>
        </w:rPr>
      </w:r>
      <w:bookmarkEnd w:id="9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2.2. Мероприятие может считаться выполненным в полном объеме при достижении следующих результатов: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eastAsiaTheme="minorHAnsi"/>
          <w:highlight w:val="none"/>
        </w:rPr>
      </w:r>
      <w:bookmarkStart w:id="10" w:name="sub_10221"/>
      <w:r>
        <w:rPr>
          <w:rFonts w:eastAsiaTheme="minorHAnsi"/>
          <w:highlight w:val="none"/>
        </w:rPr>
      </w:r>
      <w:bookmarkStart w:id="11" w:name="sub_102211"/>
      <w:r>
        <w:rPr>
          <w:rFonts w:eastAsiaTheme="minorHAnsi"/>
          <w:highlight w:val="none"/>
        </w:rPr>
      </w:r>
      <w:bookmarkEnd w:id="10"/>
      <w:r>
        <w:rPr>
          <w:rFonts w:eastAsiaTheme="minorHAnsi"/>
          <w:highlight w:val="none"/>
        </w:rPr>
      </w:r>
      <w:bookmarkEnd w:id="11"/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2.2.1. Мероприятие, результаты которого оцениваются на основании числовых (в абсолютных или относительных величинах)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ультата, достигнутое в году, предшествующем отчетному, с учетом корректировки объемов финансирования по мероприятию.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eastAsiaTheme="minorHAnsi"/>
          <w:highlight w:val="none"/>
        </w:rPr>
      </w:r>
      <w:bookmarkStart w:id="12" w:name="sub_102212"/>
      <w:r>
        <w:rPr>
          <w:rFonts w:eastAsiaTheme="minorHAnsi"/>
          <w:highlight w:val="none"/>
        </w:rPr>
      </w:r>
      <w:bookmarkEnd w:id="12"/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2.2.2. По иным мероприятиям результаты реализации могут оцениваться наступление или ненаступление контрольного события (событий) и (или) до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стижение качественного результата.</w:t>
      </w:r>
      <w:bookmarkStart w:id="13" w:name="sub_10223"/>
      <w:r>
        <w:rPr>
          <w:rFonts w:eastAsiaTheme="minorHAnsi"/>
          <w:highlight w:val="none"/>
        </w:rPr>
      </w:r>
      <w:bookmarkEnd w:id="13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highlight w:val="none"/>
          <w:lang w:eastAsia="ru-RU"/>
        </w:rPr>
        <w:t xml:space="preserve">3. Оценка степени соответствия запланированному уровню расходов</w:t>
      </w:r>
      <w:bookmarkStart w:id="14" w:name="sub_103"/>
      <w:r>
        <w:rPr>
          <w:rFonts w:eastAsiaTheme="minorHAnsi"/>
          <w:highlight w:val="none"/>
        </w:rPr>
      </w:r>
      <w:bookmarkEnd w:id="14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3.1. Степень соответствия запланированному уровню расходов оценивается для каждой подпрограммы (ведомственной целевой программы, основного мероприятия) как отношение фактически произведенных в отчетном году расходов на их реализацию к плановым значениям по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следующей формуле:</w:t>
      </w:r>
      <w:bookmarkStart w:id="15" w:name="sub_1031"/>
      <w:r>
        <w:rPr>
          <w:rFonts w:eastAsiaTheme="minorHAnsi"/>
          <w:highlight w:val="none"/>
        </w:rPr>
      </w:r>
      <w:bookmarkEnd w:id="15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ССуз = Зф / Зп, где: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ССуз - степень соответствия запланированному уровню расходов;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Зф - фактические расходы на реализацию подпрограммы (ведомственной целевой программы, основного мероприятия) в отчетном году;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Зп - объемы бюджетных асс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игнований, предусмотренные на реализацию соответствующей подпрограммы (ведомственной целевой программы, основного мероприятия) краевого и местного бюджета на отчетный год в соответствии с действующей на момент проведения оценки эффективности ре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ализации ред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акцией муниципальной программы.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Подпрограмма 1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 = 353,8 / 353,8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Подпрограмма 2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 = 289,3 / 289,3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3.2. С учетом специфики конкретно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  <w:bookmarkStart w:id="16" w:name="sub_1032"/>
      <w:r>
        <w:rPr>
          <w:rFonts w:eastAsiaTheme="minorHAnsi"/>
          <w:highlight w:val="none"/>
        </w:rPr>
      </w:r>
      <w:bookmarkEnd w:id="16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highlight w:val="none"/>
          <w:lang w:eastAsia="ru-RU"/>
        </w:rPr>
        <w:t xml:space="preserve">4. Оценка</w:t>
      </w:r>
      <w:r>
        <w:rPr>
          <w:rFonts w:ascii="Times New Roman" w:hAnsi="Times New Roman" w:eastAsiaTheme="minorHAnsi"/>
          <w:bCs/>
          <w:sz w:val="28"/>
          <w:szCs w:val="28"/>
          <w:highlight w:val="none"/>
          <w:lang w:eastAsia="ru-RU"/>
        </w:rPr>
        <w:t xml:space="preserve"> эффективности использования средств местного бюджета</w:t>
      </w:r>
      <w:bookmarkStart w:id="17" w:name="sub_104"/>
      <w:r>
        <w:rPr>
          <w:rFonts w:eastAsiaTheme="minorHAnsi"/>
          <w:highlight w:val="none"/>
        </w:rPr>
      </w:r>
      <w:bookmarkEnd w:id="17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Эффективность использования бюджетных средств рассчитывается для каждой подпрограммы (ведомственной целевой программы, основного мероприятия) как отношение степени реализации мероприятий к степени соот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ветствия запланированному уровню расходов из средств местного бюджета по следующей формуле: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Эис = СРм / ССуз, где: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Эис - эффективность использования средств местного бюджета;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СРм - степень реализации мероприятий, полностью или частично финансируемых из с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редств местного бюджета;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ССуз - степень соответствия запланированному уровню расходов из средств местного бюджета.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Подпрограмма 1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  <w:t xml:space="preserve">1 = 1 / 1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Подпрограмма 2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  <w:t xml:space="preserve">1 = 1 / 1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Если доля финансового обеспечени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я реализации подпрограммы, ведомственной целевой програм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Эис = СРм / ССуз, где: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Эис - эффективность использования финансовых ресурсов на реализацию подпрограммы (ведо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мственной целевой программы, основного мероприятия);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СРм - степень реализации всех мероприятий подпрограммы (ведомственной целевой программы, основного мероприятия);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ССуз - степень соответствия запланированному уровню расходов из всех источников.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highlight w:val="none"/>
          <w:lang w:eastAsia="ru-RU"/>
        </w:rPr>
        <w:t xml:space="preserve">5. Оценка степени достижения целей и решения задач подпрограммы (ведомственной целевой программы, основного мероприятия)</w:t>
      </w:r>
      <w:bookmarkStart w:id="18" w:name="sub_105"/>
      <w:r>
        <w:rPr>
          <w:rFonts w:eastAsiaTheme="minorHAnsi"/>
          <w:highlight w:val="none"/>
        </w:rPr>
      </w:r>
      <w:bookmarkEnd w:id="18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eastAsiaTheme="minorHAnsi"/>
          <w:highlight w:val="none"/>
        </w:rPr>
      </w:r>
      <w:bookmarkStart w:id="19" w:name="sub_1051"/>
      <w:r>
        <w:rPr>
          <w:rFonts w:eastAsiaTheme="minorHAnsi"/>
          <w:highlight w:val="none"/>
        </w:rPr>
      </w:r>
      <w:bookmarkEnd w:id="19"/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5.1. Для оценки степени достижения целей и решения задач (далее -степень реализации) подпрограммы, ведомственной целевой программы, ос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eastAsiaTheme="minorHAnsi"/>
          <w:highlight w:val="none"/>
        </w:rPr>
      </w:r>
      <w:bookmarkStart w:id="20" w:name="sub_10511"/>
      <w:r>
        <w:rPr>
          <w:rFonts w:eastAsiaTheme="minorHAnsi"/>
          <w:highlight w:val="none"/>
        </w:rPr>
      </w:r>
      <w:bookmarkEnd w:id="20"/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5.2. Степень достижения планового значения целевого пока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зателя рассчитывается по следующим формулам:</w:t>
      </w:r>
      <w:bookmarkStart w:id="21" w:name="sub_1052"/>
      <w:r>
        <w:rPr>
          <w:rFonts w:eastAsiaTheme="minorHAnsi"/>
          <w:highlight w:val="none"/>
        </w:rPr>
      </w:r>
      <w:bookmarkEnd w:id="21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для целевых показателей, желаемой тенденцией развития которых является увеличение значений: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СДп/ппз = ЗПп/пф / ЗПп/пп,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Подпрограмма 1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показатель 1.1.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  <w:t xml:space="preserve">1 = 1,03 = 21,6 / 21,0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показатель 1.2.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bookmarkStart w:id="22" w:name="__DdeLink__404_3534193807"/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 = 1,04 = 33,6 / 32,2</w:t>
      </w:r>
      <w:bookmarkEnd w:id="22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показатель 1.3.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  <w:t xml:space="preserve">1 = 1,00 = 260 / 260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Подпрограмма 2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показатель 1.1.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  <w:t xml:space="preserve">1 = 1,11 = 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</w:rPr>
        <w:t xml:space="preserve">3887,1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/ 3500,0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для целевых показателей, желаемой тенденцией развития которых является снижение значений: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СДп/ппз = ЗПп/пп / ЗПп/пф, где: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СДп/ппз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ЗПп/пф - значение целевого показателя подпрограммы (ведомственной целевой программы, основного мероприятия) фактически дости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гнутое на конец отчетного периода;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ЗПп/пп - плановое значе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ние целевого показателя подпрограммы (ведомственной целевой программы, основного мероприятия).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5.3. Степень реализации подпрограммы (ведомственной целевой программы,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основного мероприятия) рассчитывается по формуле:</w:t>
      </w:r>
      <w:bookmarkStart w:id="23" w:name="sub_1053"/>
      <w:r>
        <w:rPr>
          <w:rFonts w:eastAsiaTheme="minorHAnsi"/>
          <w:highlight w:val="none"/>
        </w:rPr>
      </w:r>
      <w:bookmarkEnd w:id="23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tabs>
          <w:tab w:val="left" w:pos="1515" w:leader="none"/>
          <w:tab w:val="center" w:pos="481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eastAsiaTheme="minorHAnsi"/>
          <w:highlight w:val="none"/>
          <w:lang w:eastAsia="ru-RU"/>
        </w:rPr>
      </w:r>
      <w:r>
        <w:rPr>
          <w:rFonts w:eastAsiaTheme="minorHAnsi"/>
          <w:highlight w:val="non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2125" cy="46672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62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38.8pt;height:36.8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, где: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СРп/п - степень реализации подпрограммы (ведомственной целевой программы, основного мероприятия);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СДп/ппз ~ степень достижения планового значения целевого показателя подпрограммы (ведомственной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целевой программы, основного мероприятия);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N - число целевых показателей подпрограммы (ведомственной целевой программы, основного мероприятия).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Подпрограмма 1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  <w:t xml:space="preserve">1 = 3 / 3 = (1+1) +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1/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3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Подпрограмма 2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  <w:t xml:space="preserve">1 = 1 / 1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При использовании данной формулы в слу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чаях, ес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ли СДп/ппз&gt;1, значение СДп/ппз принимается равным 1.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highlight w:val="none"/>
          <w:lang w:eastAsia="ru-RU"/>
        </w:rPr>
        <w:t xml:space="preserve">6. Оценка эффективности реализации подпрограммы, (ведомственной целевой программы, основного мероприятия)</w:t>
      </w:r>
      <w:bookmarkStart w:id="24" w:name="sub_106"/>
      <w:r>
        <w:rPr>
          <w:rFonts w:eastAsiaTheme="minorHAnsi"/>
          <w:highlight w:val="none"/>
        </w:rPr>
      </w:r>
      <w:bookmarkEnd w:id="24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6.1. Эффективность реализации подпрограммы (ведомственной целевой программы, основного мероприя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местного бюджета по следующей формуле:</w:t>
      </w:r>
      <w:bookmarkStart w:id="25" w:name="sub_1061"/>
      <w:r>
        <w:rPr>
          <w:rFonts w:eastAsiaTheme="minorHAnsi"/>
          <w:highlight w:val="none"/>
        </w:rPr>
      </w:r>
      <w:bookmarkEnd w:id="25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ЭРп/п = СРп/п * Эис, где: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ЭРп/п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- эффективность реализации подпрограммы (ведомственной целевой программы, основного мероприятия);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СРп/п - степень реализации подпрограммы (ведомственной целевой программы, основного мероприятия);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Эис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домственной целевой программы, основного мероприятия).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Подпрограмма 1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 = 1 * 1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Подпрограмма 2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  <w:t xml:space="preserve">1 = 1 * 1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6.2. Эффективность реализации подпрограммы (ведомственной целевой программы, основного мероприятия) признается высокой в случае, если значение ЭРп/п составляет не менее 0,9.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Подпрограмма 1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  <w:t xml:space="preserve">ЭРп/п = 1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u w:val="single"/>
        </w:rPr>
        <w:t xml:space="preserve">Подпрограмма 2</w:t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</w:r>
      <w:r>
        <w:rPr>
          <w:rFonts w:ascii="Times New Roman" w:hAnsi="Times New Roman" w:eastAsiaTheme="minorHAnsi"/>
          <w:sz w:val="28"/>
          <w:szCs w:val="28"/>
          <w:highlight w:val="none"/>
        </w:rPr>
        <w:tab/>
        <w:t xml:space="preserve">ЭРп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/п = 1</w:t>
      </w:r>
      <w:bookmarkStart w:id="26" w:name="sub_1062"/>
      <w:r>
        <w:rPr>
          <w:rFonts w:eastAsiaTheme="minorHAnsi"/>
          <w:highlight w:val="none"/>
        </w:rPr>
      </w:r>
      <w:bookmarkEnd w:id="26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Эффективность реализации подпрограммы (ведомственной целевой программы, основного мероприятия) признается средней в случае, если значение ЭРп/п составляет не менее 0,8.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Эффективность реализации подпрограммы (ведомственной целевой программы, основно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го меро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приятия) признается удовлетворительной в случае, если значение ЭРп/п составляет не менее 0,7.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В остальных случаях эффективность реализации подпрограммы (ведомственной целевой программы, основного мероприятия) признается неудовлетворительной.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highlight w:val="none"/>
          <w:lang w:eastAsia="ru-RU"/>
        </w:rPr>
        <w:t xml:space="preserve">7. Оце</w:t>
      </w:r>
      <w:r>
        <w:rPr>
          <w:rFonts w:ascii="Times New Roman" w:hAnsi="Times New Roman" w:eastAsiaTheme="minorHAnsi"/>
          <w:bCs/>
          <w:sz w:val="28"/>
          <w:szCs w:val="28"/>
          <w:highlight w:val="none"/>
          <w:lang w:eastAsia="ru-RU"/>
        </w:rPr>
        <w:t xml:space="preserve">нка степени достижения целей и решения задач муниципальной программы</w:t>
      </w:r>
      <w:bookmarkStart w:id="27" w:name="sub_107"/>
      <w:r>
        <w:rPr>
          <w:rFonts w:eastAsiaTheme="minorHAnsi"/>
          <w:highlight w:val="none"/>
        </w:rPr>
      </w:r>
      <w:bookmarkEnd w:id="27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eastAsiaTheme="minorHAnsi"/>
          <w:highlight w:val="none"/>
        </w:rPr>
      </w:r>
      <w:bookmarkStart w:id="28" w:name="sub_1071"/>
      <w:r>
        <w:rPr>
          <w:rFonts w:eastAsiaTheme="minorHAnsi"/>
          <w:highlight w:val="none"/>
        </w:rPr>
      </w:r>
      <w:bookmarkEnd w:id="28"/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я, характеризующего цели и задачи муниципальной программы.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eastAsiaTheme="minorHAnsi"/>
          <w:highlight w:val="none"/>
        </w:rPr>
      </w:r>
      <w:bookmarkStart w:id="29" w:name="sub_10711"/>
      <w:r>
        <w:rPr>
          <w:rFonts w:eastAsiaTheme="minorHAnsi"/>
          <w:highlight w:val="none"/>
        </w:rPr>
      </w:r>
      <w:bookmarkEnd w:id="29"/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  <w:bookmarkStart w:id="30" w:name="sub_1072"/>
      <w:r>
        <w:rPr>
          <w:rFonts w:eastAsiaTheme="minorHAnsi"/>
          <w:highlight w:val="none"/>
        </w:rPr>
      </w:r>
      <w:bookmarkEnd w:id="30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для целевых показателей, желаемой тенде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нцией развития которых является увеличение значений: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СДмппз = ЗПмпф / ЗПмпп,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 = 1,03 = 21,6 / 21,0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 = 1,04 = 33,6 / 32,2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 = 1,00 = 260 / 260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 = 1,11 =</w:t>
      </w:r>
      <w:r>
        <w:rPr>
          <w:rFonts w:ascii="Times New Roman" w:hAnsi="Times New Roman" w:eastAsiaTheme="minorHAnsi"/>
          <w:color w:val="000000"/>
          <w:sz w:val="28"/>
          <w:szCs w:val="28"/>
          <w:highlight w:val="none"/>
        </w:rPr>
        <w:t xml:space="preserve">3887,1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/ 3500,0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для целевых показателей, желаемой тенденцией развития которых является снижение значений: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СДмппз = ЗПмпп / ЗПмпф, где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СДмппз - степень достижения планового значения целевого показателя, характеризующего цели и задачи муниципальной программы;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ЗПмпф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ЗПмпп - плановое значение целевого показателя, характеризующего цели и задачи муниципальной программы.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eastAsiaTheme="minorHAnsi"/>
          <w:highlight w:val="none"/>
        </w:rPr>
      </w:r>
      <w:bookmarkStart w:id="31" w:name="sub_1073"/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7.3. Степень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реализации муниципальной программы рассчитывается по формуле:</w:t>
      </w:r>
      <w:bookmarkEnd w:id="31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tabs>
          <w:tab w:val="left" w:pos="3120" w:leader="none"/>
          <w:tab w:val="center" w:pos="4819" w:leader="none"/>
        </w:tabs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ab/>
      </w:r>
      <w:r>
        <w:rPr>
          <w:rFonts w:eastAsiaTheme="minorHAnsi"/>
          <w:highlight w:val="none"/>
        </w:rPr>
        <w:fldChar w:fldCharType="begin"/>
      </w:r>
      <w:r>
        <w:rPr>
          <w:rFonts w:ascii="Times New Roman" w:hAnsi="Times New Roman" w:eastAsiaTheme="minorHAnsi"/>
          <w:sz w:val="28"/>
          <w:szCs w:val="28"/>
          <w:highlight w:val="none"/>
        </w:rPr>
        <w:instrText xml:space="preserve">QUOTE</w:instrText>
      </w:r>
      <w:r>
        <w:rPr>
          <w:rFonts w:ascii="Times New Roman" w:hAnsi="Times New Roman" w:eastAsiaTheme="minorHAnsi"/>
          <w:sz w:val="28"/>
          <w:szCs w:val="28"/>
          <w:highlight w:val="none"/>
        </w:rPr>
        <w:fldChar w:fldCharType="end"/>
      </w:r>
      <w:bookmarkStart w:id="32" w:name="Bookmark"/>
      <w:r>
        <w:rPr>
          <w:rFonts w:eastAsiaTheme="minorHAnsi"/>
          <w:highlight w:val="none"/>
        </w:rPr>
      </w:r>
      <w:bookmarkStart w:id="33" w:name="Bookmark11"/>
      <w:r>
        <w:rPr>
          <w:rFonts w:eastAsiaTheme="minorHAnsi"/>
          <w:highlight w:val="none"/>
        </w:rPr>
      </w:r>
      <w:bookmarkStart w:id="34" w:name="Bookmark1"/>
      <w:r>
        <w:rPr>
          <w:rFonts w:eastAsiaTheme="minorHAnsi"/>
          <w:highlight w:val="none"/>
        </w:rPr>
      </w:r>
      <w:bookmarkEnd w:id="32"/>
      <w:r>
        <w:rPr>
          <w:rFonts w:eastAsiaTheme="minorHAnsi"/>
          <w:highlight w:val="none"/>
        </w:rPr>
      </w:r>
      <w:bookmarkEnd w:id="33"/>
      <w:r>
        <w:rPr>
          <w:rFonts w:eastAsiaTheme="minorHAnsi"/>
          <w:highlight w:val="none"/>
        </w:rPr>
      </w:r>
      <w:bookmarkEnd w:id="34"/>
      <w:r>
        <w:rPr>
          <w:rFonts w:eastAsiaTheme="minorHAnsi"/>
          <w:highlight w:val="non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00200" cy="24765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26.0pt;height:19.5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Theme="minorHAnsi"/>
          <w:highlight w:val="non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00200" cy="247650"/>
                <wp:effectExtent l="0" t="0" r="0" b="0"/>
                <wp:docPr id="3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26.0pt;height:19.5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ab/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 = 4 / 4 = (1+1+1+1) / 4,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где: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СРмп - степень реализации муниципальной программы;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СДмппз - степень достижения планового значения целевого показателя (индикатора), характеризующего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цели и задачи муниципальной программы;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М - число целевых показателей, характеризующих цели и задачи муниципальной программы.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При использовании данной формулы в случаях, если СДмппз&gt;1, значение СДмппз принимается равным 1.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highlight w:val="none"/>
          <w:lang w:eastAsia="ru-RU"/>
        </w:rPr>
        <w:t xml:space="preserve">8. Оценка эффективности реализац</w:t>
      </w:r>
      <w:r>
        <w:rPr>
          <w:rFonts w:ascii="Times New Roman" w:hAnsi="Times New Roman" w:eastAsiaTheme="minorHAnsi"/>
          <w:bCs/>
          <w:sz w:val="28"/>
          <w:szCs w:val="28"/>
          <w:highlight w:val="none"/>
          <w:lang w:eastAsia="ru-RU"/>
        </w:rPr>
        <w:t xml:space="preserve">ии муниципальной программы</w:t>
      </w:r>
      <w:bookmarkStart w:id="35" w:name="sub_108"/>
      <w:r>
        <w:rPr>
          <w:rFonts w:eastAsiaTheme="minorHAnsi"/>
          <w:highlight w:val="none"/>
        </w:rPr>
      </w:r>
      <w:bookmarkEnd w:id="35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8.1. Эффективность реал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  <w:bookmarkStart w:id="36" w:name="sub_1081"/>
      <w:r>
        <w:rPr>
          <w:rFonts w:eastAsiaTheme="minorHAnsi"/>
          <w:highlight w:val="none"/>
        </w:rPr>
      </w:r>
      <w:bookmarkEnd w:id="36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eastAsiaTheme="minorHAnsi"/>
          <w:highlight w:val="none"/>
          <w:lang w:eastAsia="ru-RU"/>
        </w:rPr>
      </w:r>
      <w:r>
        <w:rPr>
          <w:rFonts w:eastAsiaTheme="minorHAnsi"/>
          <w:highlight w:val="non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19425" cy="476250"/>
                <wp:effectExtent l="0" t="0" r="0" b="0"/>
                <wp:docPr id="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019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237.8pt;height:37.5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tabs>
          <w:tab w:val="left" w:pos="8471" w:leader="none"/>
        </w:tabs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  = 0,5 + 0,5= 0,5 * 1 + 0,5 * (1*0,55 + 1*0,45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), где:</w:t>
      </w:r>
      <w:r>
        <w:rPr>
          <w:rFonts w:eastAsiaTheme="minorHAnsi"/>
          <w:highlight w:val="none"/>
        </w:rPr>
        <w:tab/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ЭРмп - эффективность реализации муниципальной программы;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СРмп - степень реализации муниципальной программы;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ЭРп/п - эффективность реализации подпрограммы (ведомственной целевой программы, основн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ого мероприятия);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kj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определяется по формуле: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kj = Фj / Ф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0,55 = 353,8/</w:t>
      </w:r>
      <w:r>
        <w:rPr>
          <w:rFonts w:ascii="Times New Roman" w:hAnsi="Times New Roman" w:eastAsiaTheme="minorHAnsi"/>
          <w:sz w:val="28"/>
          <w:highlight w:val="none"/>
        </w:rPr>
        <w:t xml:space="preserve">643,1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center"/>
        <w:spacing w:lineRule="auto" w:line="240" w:after="0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       0,45 = 289,3 / 643,1 где: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Фj - объем фактических расходов из местного бюджета (кассового исполнения) на реализацию j-той подпрограммы (ведомственной целевой программы, основного мероприятия)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в отчетном году;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Ф - объем фактических расходов из местного бюджета (кассового исполнения) на реализацию муниципальной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программы;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j - количество подпрограмм (ведомственных целевых программ, основных мероприятий).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8.2. Эффективность реализации муниципально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й программы признается высокой в случае, если значение ЭРмп составляет не менее 0,90.</w:t>
      </w:r>
      <w:bookmarkStart w:id="37" w:name="sub_1082"/>
      <w:r>
        <w:rPr>
          <w:rFonts w:eastAsiaTheme="minorHAnsi"/>
          <w:highlight w:val="none"/>
        </w:rPr>
      </w:r>
      <w:bookmarkEnd w:id="37"/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Эффективность реализации муниципальной программы признается средней в случае, если значение ЭРмп, составляет не менее 0,80.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Эффективность реализации муниципальной програм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мы признается удовлетворительной в случае, если значение ЭРмп составляет не менее 0,70.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В остальных случаях эффективность реализации муниципальной программы признается неудовлетворительной.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ind w:firstLine="709"/>
        <w:jc w:val="both"/>
        <w:spacing w:lineRule="auto" w:line="240" w:after="0"/>
        <w:rPr>
          <w:highlight w:val="none"/>
        </w:rPr>
        <w:outlineLvl w:val="0"/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Вывод: </w:t>
      </w:r>
      <w:r>
        <w:rPr>
          <w:rFonts w:ascii="Times New Roman" w:hAnsi="Times New Roman" w:eastAsiaTheme="minorHAnsi"/>
          <w:bCs/>
          <w:sz w:val="28"/>
          <w:szCs w:val="28"/>
          <w:highlight w:val="none"/>
          <w:lang w:eastAsia="ru-RU"/>
        </w:rPr>
        <w:t xml:space="preserve">эффективность реализации муниципальной программы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«Экономиче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ское развитие и инновационная экономика муниципального образования Каневской район на 2019-2024 годы»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по итогам 2022 года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признается высокой и равна коэффициенту 1.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 xml:space="preserve">Начальник</w:t>
      </w: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 xml:space="preserve"> управления экономики 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 xml:space="preserve">а</w:t>
      </w: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 xml:space="preserve">дминистрации</w:t>
      </w: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 xml:space="preserve">муниципального 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spacing w:lineRule="auto" w:line="240" w:after="0"/>
        <w:widowControl w:val="off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 xml:space="preserve">образования Каневской район                  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 xml:space="preserve">                          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 xml:space="preserve">            </w:t>
      </w:r>
      <w:r>
        <w:rPr>
          <w:rFonts w:ascii="Times New Roman" w:hAnsi="Times New Roman" w:eastAsiaTheme="minorHAnsi"/>
          <w:sz w:val="28"/>
          <w:szCs w:val="28"/>
          <w:highlight w:val="none"/>
          <w:lang w:eastAsia="ru-RU"/>
        </w:rPr>
        <w:t xml:space="preserve">О.И. Пужильная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DejaVu Sans Condensed">
    <w:panose1 w:val="020B0606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  <w:rPr>
      <w:sz w:val="22"/>
      <w:szCs w:val="22"/>
      <w:lang w:eastAsia="en-US"/>
    </w:rPr>
    <w:pPr>
      <w:spacing w:lineRule="auto" w:line="276" w:after="200"/>
    </w:p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character" w:styleId="638" w:customStyle="1">
    <w:name w:val="Heading 1 Char"/>
    <w:basedOn w:val="635"/>
    <w:link w:val="655"/>
    <w:uiPriority w:val="9"/>
    <w:rPr>
      <w:rFonts w:ascii="Arial" w:hAnsi="Arial" w:cs="Arial" w:eastAsia="Arial"/>
      <w:sz w:val="40"/>
      <w:szCs w:val="40"/>
    </w:rPr>
  </w:style>
  <w:style w:type="character" w:styleId="639" w:customStyle="1">
    <w:name w:val="Heading 2 Char"/>
    <w:basedOn w:val="635"/>
    <w:link w:val="656"/>
    <w:uiPriority w:val="9"/>
    <w:rPr>
      <w:rFonts w:ascii="Arial" w:hAnsi="Arial" w:cs="Arial" w:eastAsia="Arial"/>
      <w:sz w:val="34"/>
    </w:rPr>
  </w:style>
  <w:style w:type="character" w:styleId="640" w:customStyle="1">
    <w:name w:val="Heading 3 Char"/>
    <w:basedOn w:val="635"/>
    <w:link w:val="657"/>
    <w:uiPriority w:val="9"/>
    <w:rPr>
      <w:rFonts w:ascii="Arial" w:hAnsi="Arial" w:cs="Arial" w:eastAsia="Arial"/>
      <w:sz w:val="30"/>
      <w:szCs w:val="30"/>
    </w:rPr>
  </w:style>
  <w:style w:type="character" w:styleId="641" w:customStyle="1">
    <w:name w:val="Heading 4 Char"/>
    <w:basedOn w:val="635"/>
    <w:link w:val="658"/>
    <w:uiPriority w:val="9"/>
    <w:rPr>
      <w:rFonts w:ascii="Arial" w:hAnsi="Arial" w:cs="Arial" w:eastAsia="Arial"/>
      <w:b/>
      <w:bCs/>
      <w:sz w:val="26"/>
      <w:szCs w:val="26"/>
    </w:rPr>
  </w:style>
  <w:style w:type="character" w:styleId="642" w:customStyle="1">
    <w:name w:val="Heading 5 Char"/>
    <w:basedOn w:val="635"/>
    <w:link w:val="659"/>
    <w:uiPriority w:val="9"/>
    <w:rPr>
      <w:rFonts w:ascii="Arial" w:hAnsi="Arial" w:cs="Arial" w:eastAsia="Arial"/>
      <w:b/>
      <w:bCs/>
      <w:sz w:val="24"/>
      <w:szCs w:val="24"/>
    </w:rPr>
  </w:style>
  <w:style w:type="character" w:styleId="643" w:customStyle="1">
    <w:name w:val="Heading 6 Char"/>
    <w:basedOn w:val="635"/>
    <w:link w:val="660"/>
    <w:uiPriority w:val="9"/>
    <w:rPr>
      <w:rFonts w:ascii="Arial" w:hAnsi="Arial" w:cs="Arial" w:eastAsia="Arial"/>
      <w:b/>
      <w:bCs/>
      <w:sz w:val="22"/>
      <w:szCs w:val="22"/>
    </w:rPr>
  </w:style>
  <w:style w:type="character" w:styleId="644" w:customStyle="1">
    <w:name w:val="Heading 7 Char"/>
    <w:basedOn w:val="635"/>
    <w:link w:val="6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5" w:customStyle="1">
    <w:name w:val="Heading 8 Char"/>
    <w:basedOn w:val="63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character" w:styleId="646" w:customStyle="1">
    <w:name w:val="Heading 9 Char"/>
    <w:basedOn w:val="635"/>
    <w:link w:val="663"/>
    <w:uiPriority w:val="9"/>
    <w:rPr>
      <w:rFonts w:ascii="Arial" w:hAnsi="Arial" w:cs="Arial" w:eastAsia="Arial"/>
      <w:i/>
      <w:iCs/>
      <w:sz w:val="21"/>
      <w:szCs w:val="21"/>
    </w:rPr>
  </w:style>
  <w:style w:type="character" w:styleId="647" w:customStyle="1">
    <w:name w:val="Title Char"/>
    <w:basedOn w:val="635"/>
    <w:link w:val="675"/>
    <w:uiPriority w:val="10"/>
    <w:rPr>
      <w:sz w:val="48"/>
      <w:szCs w:val="48"/>
    </w:rPr>
  </w:style>
  <w:style w:type="character" w:styleId="648" w:customStyle="1">
    <w:name w:val="Subtitle Char"/>
    <w:basedOn w:val="635"/>
    <w:link w:val="677"/>
    <w:uiPriority w:val="11"/>
    <w:rPr>
      <w:sz w:val="24"/>
      <w:szCs w:val="24"/>
    </w:rPr>
  </w:style>
  <w:style w:type="character" w:styleId="649" w:customStyle="1">
    <w:name w:val="Quote Char"/>
    <w:link w:val="679"/>
    <w:uiPriority w:val="29"/>
    <w:rPr>
      <w:i/>
    </w:rPr>
  </w:style>
  <w:style w:type="character" w:styleId="650" w:customStyle="1">
    <w:name w:val="Intense Quote Char"/>
    <w:link w:val="681"/>
    <w:uiPriority w:val="30"/>
    <w:rPr>
      <w:i/>
    </w:rPr>
  </w:style>
  <w:style w:type="character" w:styleId="651" w:customStyle="1">
    <w:name w:val="Header Char"/>
    <w:basedOn w:val="635"/>
    <w:link w:val="841"/>
    <w:uiPriority w:val="99"/>
  </w:style>
  <w:style w:type="character" w:styleId="652" w:customStyle="1">
    <w:name w:val="Caption Char"/>
    <w:link w:val="684"/>
    <w:uiPriority w:val="99"/>
  </w:style>
  <w:style w:type="character" w:styleId="653" w:customStyle="1">
    <w:name w:val="Footnote Text Char"/>
    <w:link w:val="814"/>
    <w:uiPriority w:val="99"/>
    <w:rPr>
      <w:sz w:val="18"/>
    </w:rPr>
  </w:style>
  <w:style w:type="character" w:styleId="654" w:customStyle="1">
    <w:name w:val="Endnote Text Char"/>
    <w:link w:val="817"/>
    <w:uiPriority w:val="99"/>
    <w:rPr>
      <w:sz w:val="20"/>
    </w:rPr>
  </w:style>
  <w:style w:type="paragraph" w:styleId="655" w:customStyle="1">
    <w:name w:val="Heading 1"/>
    <w:basedOn w:val="634"/>
    <w:next w:val="634"/>
    <w:link w:val="66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56" w:customStyle="1">
    <w:name w:val="Heading 2"/>
    <w:basedOn w:val="634"/>
    <w:next w:val="634"/>
    <w:link w:val="66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57" w:customStyle="1">
    <w:name w:val="Heading 3"/>
    <w:basedOn w:val="634"/>
    <w:next w:val="634"/>
    <w:link w:val="66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58" w:customStyle="1">
    <w:name w:val="Heading 4"/>
    <w:basedOn w:val="634"/>
    <w:next w:val="634"/>
    <w:link w:val="6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59" w:customStyle="1">
    <w:name w:val="Heading 5"/>
    <w:basedOn w:val="634"/>
    <w:next w:val="634"/>
    <w:link w:val="6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60" w:customStyle="1">
    <w:name w:val="Heading 6"/>
    <w:basedOn w:val="634"/>
    <w:next w:val="634"/>
    <w:link w:val="66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61" w:customStyle="1">
    <w:name w:val="Heading 7"/>
    <w:basedOn w:val="634"/>
    <w:next w:val="634"/>
    <w:link w:val="67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62" w:customStyle="1">
    <w:name w:val="Heading 8"/>
    <w:basedOn w:val="634"/>
    <w:next w:val="634"/>
    <w:link w:val="671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63" w:customStyle="1">
    <w:name w:val="Heading 9"/>
    <w:basedOn w:val="634"/>
    <w:next w:val="634"/>
    <w:link w:val="67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64" w:customStyle="1">
    <w:name w:val="Заголовок 1 Знак"/>
    <w:basedOn w:val="635"/>
    <w:link w:val="655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Заголовок 2 Знак"/>
    <w:basedOn w:val="635"/>
    <w:link w:val="656"/>
    <w:uiPriority w:val="9"/>
    <w:rPr>
      <w:rFonts w:ascii="Arial" w:hAnsi="Arial" w:cs="Arial" w:eastAsia="Arial"/>
      <w:sz w:val="34"/>
    </w:rPr>
  </w:style>
  <w:style w:type="character" w:styleId="666" w:customStyle="1">
    <w:name w:val="Заголовок 3 Знак"/>
    <w:basedOn w:val="635"/>
    <w:link w:val="657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Заголовок 4 Знак"/>
    <w:basedOn w:val="635"/>
    <w:link w:val="658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Заголовок 5 Знак"/>
    <w:basedOn w:val="635"/>
    <w:link w:val="659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Заголовок 6 Знак"/>
    <w:basedOn w:val="635"/>
    <w:link w:val="660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Заголовок 7 Знак"/>
    <w:basedOn w:val="635"/>
    <w:link w:val="6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3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Заголовок 9 Знак"/>
    <w:basedOn w:val="635"/>
    <w:link w:val="663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List Paragraph"/>
    <w:basedOn w:val="634"/>
    <w:qFormat/>
    <w:uiPriority w:val="34"/>
    <w:pPr>
      <w:contextualSpacing w:val="true"/>
      <w:ind w:left="720"/>
    </w:pPr>
  </w:style>
  <w:style w:type="paragraph" w:styleId="674">
    <w:name w:val="No Spacing"/>
    <w:qFormat/>
    <w:uiPriority w:val="1"/>
  </w:style>
  <w:style w:type="paragraph" w:styleId="675">
    <w:name w:val="Title"/>
    <w:basedOn w:val="634"/>
    <w:next w:val="634"/>
    <w:link w:val="676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76" w:customStyle="1">
    <w:name w:val="Название Знак"/>
    <w:basedOn w:val="635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qFormat/>
    <w:uiPriority w:val="11"/>
    <w:rPr>
      <w:sz w:val="24"/>
      <w:szCs w:val="24"/>
    </w:rPr>
    <w:pPr>
      <w:spacing w:before="200"/>
    </w:pPr>
  </w:style>
  <w:style w:type="character" w:styleId="678" w:customStyle="1">
    <w:name w:val="Подзаголовок Знак"/>
    <w:basedOn w:val="635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qFormat/>
    <w:uiPriority w:val="29"/>
    <w:rPr>
      <w:i/>
    </w:rPr>
    <w:pPr>
      <w:ind w:left="720" w:right="720"/>
    </w:p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2" w:customStyle="1">
    <w:name w:val="Выделенная цитата Знак"/>
    <w:link w:val="681"/>
    <w:uiPriority w:val="30"/>
    <w:rPr>
      <w:i/>
    </w:rPr>
  </w:style>
  <w:style w:type="character" w:styleId="683" w:customStyle="1">
    <w:name w:val="Верхний колонтитул Знак1"/>
    <w:basedOn w:val="635"/>
    <w:link w:val="841"/>
    <w:uiPriority w:val="99"/>
  </w:style>
  <w:style w:type="paragraph" w:styleId="684" w:customStyle="1">
    <w:name w:val="Footer"/>
    <w:basedOn w:val="634"/>
    <w:link w:val="6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5" w:customStyle="1">
    <w:name w:val="Footer Char"/>
    <w:basedOn w:val="635"/>
    <w:uiPriority w:val="99"/>
  </w:style>
  <w:style w:type="character" w:styleId="686" w:customStyle="1">
    <w:name w:val="Нижний колонтитул Знак"/>
    <w:link w:val="684"/>
    <w:uiPriority w:val="99"/>
  </w:style>
  <w:style w:type="table" w:styleId="687">
    <w:name w:val="Table Grid"/>
    <w:basedOn w:val="636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 w:customStyle="1">
    <w:name w:val="Table Grid Light"/>
    <w:basedOn w:val="63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 w:customStyle="1">
    <w:name w:val="Plain Table 1"/>
    <w:basedOn w:val="63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 w:customStyle="1">
    <w:name w:val="Plain Table 2"/>
    <w:basedOn w:val="636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 w:customStyle="1">
    <w:name w:val="Plain Table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Plain Table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4" w:customStyle="1">
    <w:name w:val="Grid Table 1 Light"/>
    <w:basedOn w:val="636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3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3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3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3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3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3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2"/>
    <w:basedOn w:val="63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"/>
    <w:basedOn w:val="63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4"/>
    <w:basedOn w:val="636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6" w:customStyle="1">
    <w:name w:val="Grid Table 4 - Accent 1"/>
    <w:basedOn w:val="636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7" w:customStyle="1">
    <w:name w:val="Grid Table 4 - Accent 2"/>
    <w:basedOn w:val="636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8" w:customStyle="1">
    <w:name w:val="Grid Table 4 - Accent 3"/>
    <w:basedOn w:val="636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9" w:customStyle="1">
    <w:name w:val="Grid Table 4 - Accent 4"/>
    <w:basedOn w:val="636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20" w:customStyle="1">
    <w:name w:val="Grid Table 4 - Accent 5"/>
    <w:basedOn w:val="636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1" w:customStyle="1">
    <w:name w:val="Grid Table 4 - Accent 6"/>
    <w:basedOn w:val="63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2" w:customStyle="1">
    <w:name w:val="Grid Table 5 Dark"/>
    <w:basedOn w:val="63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1"/>
    <w:basedOn w:val="63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2"/>
    <w:basedOn w:val="63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3"/>
    <w:basedOn w:val="63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- Accent 4"/>
    <w:basedOn w:val="63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 - Accent 5"/>
    <w:basedOn w:val="63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6"/>
    <w:basedOn w:val="63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6 Colorful"/>
    <w:basedOn w:val="636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36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1" w:customStyle="1">
    <w:name w:val="Grid Table 6 Colorful - Accent 2"/>
    <w:basedOn w:val="63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2" w:customStyle="1">
    <w:name w:val="Grid Table 6 Colorful - Accent 3"/>
    <w:basedOn w:val="636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3" w:customStyle="1">
    <w:name w:val="Grid Table 6 Colorful - Accent 4"/>
    <w:basedOn w:val="63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4" w:customStyle="1">
    <w:name w:val="Grid Table 6 Colorful - Accent 5"/>
    <w:basedOn w:val="636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5" w:customStyle="1">
    <w:name w:val="Grid Table 6 Colorful - Accent 6"/>
    <w:basedOn w:val="63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7 Colorful"/>
    <w:basedOn w:val="63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1"/>
    <w:basedOn w:val="636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2"/>
    <w:basedOn w:val="63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3"/>
    <w:basedOn w:val="636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7 Colorful - Accent 4"/>
    <w:basedOn w:val="63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7 Colorful - Accent 5"/>
    <w:basedOn w:val="636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7 Colorful - Accent 6"/>
    <w:basedOn w:val="63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1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2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6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2"/>
    <w:basedOn w:val="636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1" w:customStyle="1">
    <w:name w:val="List Table 2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52" w:customStyle="1">
    <w:name w:val="List Table 2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3" w:customStyle="1">
    <w:name w:val="List Table 2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4" w:customStyle="1">
    <w:name w:val="List Table 2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5" w:customStyle="1">
    <w:name w:val="List Table 2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6" w:customStyle="1">
    <w:name w:val="List Table 2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7" w:customStyle="1">
    <w:name w:val="List Table 3"/>
    <w:basedOn w:val="63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36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36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36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36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36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3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"/>
    <w:basedOn w:val="63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36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36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36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36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36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3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5 Dark"/>
    <w:basedOn w:val="636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36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36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36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36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36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3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9" w:customStyle="1">
    <w:name w:val="List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0" w:customStyle="1">
    <w:name w:val="List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81" w:customStyle="1">
    <w:name w:val="List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82" w:customStyle="1">
    <w:name w:val="List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3" w:customStyle="1">
    <w:name w:val="List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4" w:customStyle="1">
    <w:name w:val="List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5" w:customStyle="1">
    <w:name w:val="List Table 7 Colorful"/>
    <w:basedOn w:val="63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1"/>
    <w:basedOn w:val="636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2"/>
    <w:basedOn w:val="636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3"/>
    <w:basedOn w:val="636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st Table 7 Colorful - Accent 4"/>
    <w:basedOn w:val="636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List Table 7 Colorful - Accent 5"/>
    <w:basedOn w:val="636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7 Colorful - Accent 6"/>
    <w:basedOn w:val="63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3" w:customStyle="1">
    <w:name w:val="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4" w:customStyle="1">
    <w:name w:val="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5" w:customStyle="1">
    <w:name w:val="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6" w:customStyle="1">
    <w:name w:val="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7" w:customStyle="1">
    <w:name w:val="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8" w:customStyle="1">
    <w:name w:val="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9" w:customStyle="1">
    <w:name w:val="Bordered &amp; 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0" w:customStyle="1">
    <w:name w:val="Bordered &amp; 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1" w:customStyle="1">
    <w:name w:val="Bordered &amp; 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2" w:customStyle="1">
    <w:name w:val="Bordered &amp; 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3" w:customStyle="1">
    <w:name w:val="Bordered &amp; 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4" w:customStyle="1">
    <w:name w:val="Bordered &amp; 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5" w:customStyle="1">
    <w:name w:val="Bordered &amp; 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6" w:customStyle="1">
    <w:name w:val="Bordered"/>
    <w:basedOn w:val="636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7" w:customStyle="1">
    <w:name w:val="Bordered - Accent 1"/>
    <w:basedOn w:val="636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8" w:customStyle="1">
    <w:name w:val="Bordered - Accent 2"/>
    <w:basedOn w:val="636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9" w:customStyle="1">
    <w:name w:val="Bordered - Accent 3"/>
    <w:basedOn w:val="636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10" w:customStyle="1">
    <w:name w:val="Bordered - Accent 4"/>
    <w:basedOn w:val="636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11" w:customStyle="1">
    <w:name w:val="Bordered - Accent 5"/>
    <w:basedOn w:val="636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12" w:customStyle="1">
    <w:name w:val="Bordered - Accent 6"/>
    <w:basedOn w:val="63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634"/>
    <w:link w:val="815"/>
    <w:uiPriority w:val="99"/>
    <w:semiHidden/>
    <w:unhideWhenUsed/>
    <w:rPr>
      <w:sz w:val="18"/>
    </w:rPr>
    <w:pPr>
      <w:spacing w:lineRule="auto" w:line="240" w:after="40"/>
    </w:p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35"/>
    <w:uiPriority w:val="99"/>
    <w:unhideWhenUsed/>
    <w:rPr>
      <w:vertAlign w:val="superscript"/>
    </w:rPr>
  </w:style>
  <w:style w:type="paragraph" w:styleId="817">
    <w:name w:val="endnote text"/>
    <w:basedOn w:val="634"/>
    <w:link w:val="818"/>
    <w:uiPriority w:val="99"/>
    <w:semiHidden/>
    <w:unhideWhenUsed/>
    <w:rPr>
      <w:sz w:val="20"/>
    </w:rPr>
    <w:pPr>
      <w:spacing w:lineRule="auto" w:line="240" w:after="0"/>
    </w:p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35"/>
    <w:uiPriority w:val="99"/>
    <w:semiHidden/>
    <w:unhideWhenUsed/>
    <w:rPr>
      <w:vertAlign w:val="superscript"/>
    </w:rPr>
  </w:style>
  <w:style w:type="paragraph" w:styleId="820">
    <w:name w:val="toc 1"/>
    <w:basedOn w:val="634"/>
    <w:next w:val="634"/>
    <w:uiPriority w:val="39"/>
    <w:unhideWhenUsed/>
    <w:pPr>
      <w:spacing w:after="57"/>
    </w:pPr>
  </w:style>
  <w:style w:type="paragraph" w:styleId="821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2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3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4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5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6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7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8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34"/>
    <w:next w:val="634"/>
    <w:uiPriority w:val="99"/>
    <w:unhideWhenUsed/>
    <w:pPr>
      <w:spacing w:after="0"/>
    </w:pPr>
  </w:style>
  <w:style w:type="character" w:styleId="831" w:customStyle="1">
    <w:name w:val="Текст выноски Знак"/>
    <w:qFormat/>
    <w:uiPriority w:val="99"/>
    <w:semiHidden/>
    <w:rPr>
      <w:rFonts w:ascii="Tahoma" w:hAnsi="Tahoma" w:cs="Tahoma"/>
      <w:sz w:val="16"/>
      <w:szCs w:val="16"/>
    </w:rPr>
  </w:style>
  <w:style w:type="character" w:styleId="832" w:customStyle="1">
    <w:name w:val="Верхний колонтитул Знак"/>
    <w:qFormat/>
    <w:rPr>
      <w:rFonts w:ascii="Times New Roman" w:hAnsi="Times New Roman" w:eastAsia="Times New Roman"/>
      <w:lang w:eastAsia="ar-SA"/>
    </w:rPr>
  </w:style>
  <w:style w:type="character" w:styleId="833">
    <w:name w:val="Strong"/>
    <w:qFormat/>
    <w:rPr>
      <w:b/>
      <w:bCs/>
    </w:rPr>
  </w:style>
  <w:style w:type="paragraph" w:styleId="834" w:customStyle="1">
    <w:name w:val="Заголовок"/>
    <w:basedOn w:val="634"/>
    <w:next w:val="835"/>
    <w:qFormat/>
    <w:rPr>
      <w:rFonts w:ascii="PT Astra Serif" w:hAnsi="PT Astra Serif" w:cs="Noto Sans Devanagari" w:eastAsia="Tahoma"/>
      <w:sz w:val="28"/>
      <w:szCs w:val="28"/>
    </w:rPr>
    <w:pPr>
      <w:keepNext/>
      <w:spacing w:after="120" w:before="240"/>
    </w:pPr>
  </w:style>
  <w:style w:type="paragraph" w:styleId="835">
    <w:name w:val="Body Text"/>
    <w:basedOn w:val="634"/>
    <w:pPr>
      <w:spacing w:after="140"/>
    </w:pPr>
  </w:style>
  <w:style w:type="paragraph" w:styleId="836">
    <w:name w:val="List"/>
    <w:basedOn w:val="835"/>
    <w:rPr>
      <w:rFonts w:ascii="PT Astra Serif" w:hAnsi="PT Astra Serif" w:cs="Noto Sans Devanagari"/>
    </w:rPr>
  </w:style>
  <w:style w:type="paragraph" w:styleId="837" w:customStyle="1">
    <w:name w:val="Caption"/>
    <w:basedOn w:val="634"/>
    <w:qFormat/>
    <w:rPr>
      <w:rFonts w:ascii="PT Astra Serif" w:hAnsi="PT Astra Serif" w:cs="Noto Sans Devanagari"/>
      <w:i/>
      <w:iCs/>
      <w:sz w:val="24"/>
      <w:szCs w:val="24"/>
    </w:rPr>
    <w:pPr>
      <w:spacing w:after="120" w:before="120"/>
      <w:suppressLineNumbers/>
    </w:pPr>
  </w:style>
  <w:style w:type="paragraph" w:styleId="838">
    <w:name w:val="index heading"/>
    <w:basedOn w:val="634"/>
    <w:qFormat/>
    <w:rPr>
      <w:rFonts w:ascii="PT Astra Serif" w:hAnsi="PT Astra Serif" w:cs="Noto Sans Devanagari"/>
    </w:rPr>
    <w:pPr>
      <w:suppressLineNumbers/>
    </w:pPr>
  </w:style>
  <w:style w:type="paragraph" w:styleId="839">
    <w:name w:val="Balloon Text"/>
    <w:basedOn w:val="634"/>
    <w:qFormat/>
    <w:uiPriority w:val="99"/>
    <w:semiHidden/>
    <w:rPr>
      <w:rFonts w:ascii="Tahoma" w:hAnsi="Tahoma" w:cs="Tahoma"/>
      <w:sz w:val="16"/>
      <w:szCs w:val="16"/>
    </w:rPr>
    <w:pPr>
      <w:spacing w:lineRule="auto" w:line="240" w:after="0"/>
    </w:pPr>
  </w:style>
  <w:style w:type="paragraph" w:styleId="840" w:customStyle="1">
    <w:name w:val="Верхний и нижний колонтитулы"/>
    <w:basedOn w:val="634"/>
    <w:qFormat/>
  </w:style>
  <w:style w:type="paragraph" w:styleId="841" w:customStyle="1">
    <w:name w:val="Header"/>
    <w:basedOn w:val="634"/>
    <w:link w:val="683"/>
    <w:rPr>
      <w:rFonts w:ascii="Times New Roman" w:hAnsi="Times New Roman" w:eastAsia="Times New Roman"/>
      <w:sz w:val="20"/>
      <w:szCs w:val="20"/>
      <w:lang w:eastAsia="ar-SA"/>
    </w:rPr>
    <w:pPr>
      <w:spacing w:lineRule="auto" w:line="240" w:after="0"/>
      <w:tabs>
        <w:tab w:val="center" w:pos="4153" w:leader="none"/>
        <w:tab w:val="right" w:pos="8306" w:leader="none"/>
      </w:tabs>
    </w:pPr>
  </w:style>
  <w:style w:type="paragraph" w:styleId="842" w:customStyle="1">
    <w:name w:val="Основной текст 21"/>
    <w:basedOn w:val="634"/>
    <w:qFormat/>
    <w:rPr>
      <w:rFonts w:ascii="Arial" w:hAnsi="Arial" w:cs="Arial" w:eastAsia="DejaVu Sans Condensed"/>
      <w:sz w:val="20"/>
      <w:szCs w:val="20"/>
      <w:lang w:bidi="hi-IN" w:eastAsia="hi-IN"/>
    </w:rPr>
    <w:pPr>
      <w:spacing w:lineRule="auto" w:line="480" w:after="12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dc:description/>
  <dc:language>ru-RU</dc:language>
  <cp:revision>487</cp:revision>
  <dcterms:created xsi:type="dcterms:W3CDTF">2016-03-14T10:25:00Z</dcterms:created>
  <dcterms:modified xsi:type="dcterms:W3CDTF">2023-02-27T11:29:06Z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