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ind w:firstLine="708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Доклад о ходе </w:t>
      </w:r>
      <w:r>
        <w:rPr>
          <w:rFonts w:ascii="Times New Roman" w:hAnsi="Times New Roman"/>
          <w:sz w:val="28"/>
          <w:szCs w:val="28"/>
          <w:highlight w:val="white"/>
        </w:rPr>
        <w:t xml:space="preserve">реализации муниципальной программы «Экономическое развитие и инновационная экономика муниципального образования Каневской район на 2019-2024 годы» (утверждена постановлением администрации муниципального образования Каневской район от 28.09.2018 года №1404)</w:t>
      </w:r>
      <w:r>
        <w:rPr>
          <w:highlight w:val="white"/>
        </w:rPr>
      </w:r>
      <w:r>
        <w:rPr>
          <w:highlight w:val="white"/>
        </w:rPr>
      </w:r>
    </w:p>
    <w:p>
      <w:pPr>
        <w:pStyle w:val="810"/>
        <w:ind w:firstLine="708"/>
        <w:jc w:val="center"/>
        <w:spacing w:lineRule="auto" w:line="240" w:after="0" w:before="0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итогам 2021 года</w:t>
      </w:r>
      <w:r>
        <w:rPr>
          <w:highlight w:val="white"/>
        </w:rPr>
      </w:r>
      <w:r>
        <w:rPr>
          <w:highlight w:val="white"/>
        </w:rPr>
      </w:r>
    </w:p>
    <w:p>
      <w:pPr>
        <w:pStyle w:val="810"/>
        <w:ind w:firstLine="708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10"/>
        <w:ind w:firstLine="708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shd w:val="clear" w:fill="FFFFFF" w:color="auto"/>
        </w:rPr>
        <w:t xml:space="preserve">В целях создания благопр</w:t>
      </w:r>
      <w:r>
        <w:rPr>
          <w:rFonts w:ascii="Times New Roman" w:hAnsi="Times New Roman"/>
          <w:color w:val="000000"/>
          <w:sz w:val="28"/>
          <w:highlight w:val="white"/>
          <w:shd w:val="clear" w:fill="FFFFFF" w:color="auto"/>
        </w:rPr>
        <w:t xml:space="preserve">иятного предпринимательского климата и условий для ведения бизнеса, повышения инновационной активности бизнеса и реализации государственной политики, направленной на поддержку и развитие малого и среднего предпринимательства на территории Каневского района</w:t>
      </w:r>
      <w:r>
        <w:rPr>
          <w:rFonts w:ascii="Times New Roman" w:hAnsi="Times New Roman"/>
          <w:sz w:val="28"/>
          <w:szCs w:val="28"/>
          <w:highlight w:val="white"/>
          <w:shd w:val="clear" w:fill="FFFFFF" w:color="auto"/>
          <w:lang w:eastAsia="ar-SA"/>
        </w:rPr>
        <w:t xml:space="preserve"> в 2021 году реализовывалась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муниципальная программа «Экономическое развитие и инновационная экономика муниципального образования Каневской район на 2019-2024 годы», которая включает в себя две подпрограммы:</w:t>
      </w:r>
      <w:r>
        <w:rPr>
          <w:highlight w:val="white"/>
        </w:rPr>
      </w:r>
      <w:r>
        <w:rPr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fill="FFFFFF" w:color="auto"/>
          <w:lang w:eastAsia="ar-SA"/>
        </w:rPr>
        <w:t xml:space="preserve">1) Подпрограмма </w:t>
      </w:r>
      <w:r>
        <w:rPr>
          <w:rFonts w:ascii="Times New Roman" w:hAnsi="Times New Roman"/>
          <w:bCs/>
          <w:sz w:val="28"/>
          <w:szCs w:val="28"/>
          <w:highlight w:val="white"/>
          <w:shd w:val="clear" w:fill="FFFFFF" w:color="auto"/>
          <w:lang w:eastAsia="ar-SA"/>
        </w:rPr>
        <w:t xml:space="preserve">«Муниципальная поддержка субъектов малого и среднего предпринимательства в муниципальном образовании Каневской район на 2019-2024 годы»</w:t>
      </w:r>
      <w:r>
        <w:rPr>
          <w:rFonts w:ascii="Times New Roman" w:hAnsi="Times New Roman"/>
          <w:sz w:val="28"/>
          <w:szCs w:val="28"/>
          <w:highlight w:val="white"/>
          <w:shd w:val="clear" w:fill="FFFFFF" w:color="auto"/>
          <w:lang w:eastAsia="ar-SA"/>
        </w:rPr>
        <w:t xml:space="preserve">. За 2021 год на поддержку малого и среднего предпринимательства направлено всего 274,4 тыс. рублей, из них по мероприятиям: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fill="FFFFFF" w:color="auto"/>
          <w:lang w:eastAsia="ar-SA"/>
        </w:rPr>
        <w:t xml:space="preserve">- оказани</w:t>
      </w:r>
      <w:r>
        <w:rPr>
          <w:rFonts w:ascii="Times New Roman" w:hAnsi="Times New Roman"/>
          <w:sz w:val="28"/>
          <w:szCs w:val="28"/>
          <w:highlight w:val="white"/>
          <w:shd w:val="clear" w:fill="FFFFFF" w:color="auto"/>
          <w:lang w:eastAsia="ar-SA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  <w:shd w:val="clear" w:fill="FFFFFF" w:color="auto"/>
          <w:lang w:eastAsia="ar-SA"/>
        </w:rPr>
        <w:t xml:space="preserve"> </w:t>
      </w:r>
      <w:r>
        <w:rPr>
          <w:rFonts w:ascii="Times New Roman" w:hAnsi="Times New Roman"/>
          <w:sz w:val="28"/>
          <w:highlight w:val="white"/>
          <w:shd w:val="clear" w:fill="FFFFFF" w:color="auto"/>
          <w:lang w:eastAsia="ar-SA"/>
        </w:rPr>
        <w:t xml:space="preserve">информационных</w:t>
      </w:r>
      <w:r>
        <w:rPr>
          <w:rFonts w:ascii="Times New Roman" w:hAnsi="Times New Roman"/>
          <w:sz w:val="28"/>
          <w:highlight w:val="white"/>
          <w:shd w:val="clear" w:fill="FFFFFF" w:color="auto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shd w:val="clear" w:fill="FFFFFF" w:color="auto"/>
          <w:lang w:eastAsia="ar-SA"/>
        </w:rPr>
        <w:t xml:space="preserve">консультационных</w:t>
      </w:r>
      <w:r>
        <w:rPr>
          <w:rFonts w:ascii="Times New Roman" w:hAnsi="Times New Roman"/>
          <w:sz w:val="28"/>
          <w:szCs w:val="28"/>
          <w:highlight w:val="white"/>
          <w:shd w:val="clear" w:fill="FFFFFF" w:color="auto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shd w:val="clear" w:fill="FFFFFF" w:color="auto"/>
          <w:lang w:eastAsia="ar-SA"/>
        </w:rPr>
        <w:t xml:space="preserve"> услуг субъектам малого и среднего предпринимательства – 274,4 тыс. рублей, средства местного бюджета.</w:t>
      </w:r>
      <w:r>
        <w:rPr>
          <w:highlight w:val="white"/>
        </w:rPr>
      </w:r>
      <w:r>
        <w:rPr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рамках муниципальной программы создан муниципальный Центр поддержки предпринимательства в Каневском районе.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eastAsiaTheme="minorHAnsi"/>
          <w:sz w:val="28"/>
          <w:szCs w:val="28"/>
          <w:highlight w:val="white"/>
        </w:rPr>
        <w:t xml:space="preserve">Ко</w:t>
      </w:r>
      <w:r>
        <w:rPr>
          <w:rFonts w:ascii="Times New Roman" w:hAnsi="Times New Roman" w:eastAsia="Calibri" w:eastAsiaTheme="minorHAnsi"/>
          <w:sz w:val="28"/>
          <w:szCs w:val="28"/>
          <w:highlight w:val="white"/>
        </w:rPr>
        <w:t xml:space="preserve">личество предоставленных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highlight w:val="white"/>
          <w:shd w:val="clear" w:fill="FFFFFF" w:color="auto"/>
          <w:lang w:eastAsia="ar-SA"/>
        </w:rPr>
        <w:t xml:space="preserve">информационных</w:t>
      </w:r>
      <w:r>
        <w:rPr>
          <w:rFonts w:ascii="Times New Roman" w:hAnsi="Times New Roman" w:eastAsiaTheme="minorHAnsi"/>
          <w:sz w:val="28"/>
          <w:highlight w:val="white"/>
          <w:shd w:val="clear" w:fill="FFFFFF" w:color="auto"/>
          <w:lang w:eastAsia="ar-SA"/>
        </w:rPr>
        <w:t xml:space="preserve">,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консультационных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eastAsiaTheme="minorHAnsi"/>
          <w:sz w:val="28"/>
          <w:szCs w:val="28"/>
          <w:highlight w:val="white"/>
        </w:rPr>
        <w:t xml:space="preserve">услуг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составило 248 единиц, что на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26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,2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% м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еньше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предыдущего года.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jc w:val="both"/>
        <w:spacing w:lineRule="atLeast" w:line="283" w:after="0" w:afterAutospacing="0"/>
        <w:rPr>
          <w:rStyle w:val="814"/>
          <w:rFonts w:ascii="Times New Roman" w:hAnsi="Times New Roman"/>
          <w:b w:val="false"/>
          <w:bCs/>
          <w:sz w:val="28"/>
          <w:highlight w:val="white"/>
        </w:rPr>
      </w:pP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Мероприятия подпрограммы, не треб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ующие бюджетног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о финансирования (организация работы телефона «горячая линия» по вопросам деятельности малого и среднего предпринимательства;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 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предоставление сведений о субъектах малого и среднего предпринимательства 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  <w:lang w:eastAsia="ru-RU"/>
        </w:rPr>
        <w:t xml:space="preserve">и физических лицах, не являющихся индивидуальными 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  <w:lang w:eastAsia="ru-RU"/>
        </w:rPr>
        <w:t xml:space="preserve">предпринимателями и применяющих специальный налоговый режим «Налог на профессиональный 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  <w:lang w:eastAsia="ru-RU"/>
        </w:rPr>
        <w:t xml:space="preserve">доход»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в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 Федеральный орган исполнительной власти, осуществляющий функции по контролю и надзору за соблюдением законодательства о налогах и сборах в целях ведения 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Единого реестра 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субъектов малого и среднего предпринимательства - получателей поддержки</w:t>
      </w:r>
      <w:r>
        <w:rPr>
          <w:rStyle w:val="814"/>
          <w:rFonts w:ascii="Times New Roman" w:hAnsi="Times New Roman" w:eastAsiaTheme="minorHAnsi"/>
          <w:b w:val="false"/>
          <w:sz w:val="28"/>
          <w:highlight w:val="white"/>
        </w:rPr>
        <w:t xml:space="preserve">) выполнены в полном объеме.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tLeast" w:line="283" w:after="0" w:afterAutospacing="0" w:before="0"/>
        <w:rPr>
          <w:highlight w:val="white"/>
        </w:rPr>
      </w:pP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В 2021 году на территории всех сельских поселений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 Каневского района проведено 2 информационных мероприятия «День открытых дверей» с участием Центра поддержки предпринимательства, общественного представителя Уполномоченного по защите прав предпринимателей Крас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нодарского края в Каневском районе, специалистов администрации Каневского района и сельских поселений.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 Кроме того, проведено 4 заседания «Совета по предпринима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тельству»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, 17 конференций, 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12 совещаний по вопросам предпринимательства в различных сферах деятельн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ости,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 8 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семинаров,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 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4 круглых стола, на которых рассматривались вопросы организации и ведения деятельности субъектов малого и среднего предпринимательства, обсуждалась реализация нормативных правовых актов в области предпринимательства, рассказывалось о работе муниципального </w:t>
      </w:r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Центра поддержки предпринимательства, услугах Федеральной корпорации по развитию малого и среднего предпринимательства, деятельности Фонда микрофинансирования Краснодарского края, а также Фонда развития бизнеса Краснодарского края, Инновационном центре и К</w:t>
      </w:r>
      <w:bookmarkStart w:id="0" w:name="_GoBack"/>
      <w:r>
        <w:rPr>
          <w:rFonts w:eastAsiaTheme="minorHAnsi"/>
          <w:highlight w:val="white"/>
        </w:rPr>
      </w:r>
      <w:bookmarkEnd w:id="0"/>
      <w:r>
        <w:rPr>
          <w:rFonts w:ascii="Times New Roman" w:hAnsi="Times New Roman" w:eastAsiaTheme="minorHAnsi"/>
          <w:color w:val="000000"/>
          <w:sz w:val="28"/>
          <w:szCs w:val="28"/>
          <w:highlight w:val="white"/>
          <w:shd w:val="clear" w:fill="FFFFFF" w:color="auto"/>
          <w:lang w:eastAsia="ar-SA"/>
        </w:rPr>
        <w:t xml:space="preserve">оворкинг-центре.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В кредитных организациях и филиал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е ГАУ КК «МФЦ КК» в Каневском районе размещены листовки для предпринимателей с указанием форм и видов поддержки и контактной информации. В настоящее время в МФЦ функционируют 2 окна для приема и обслуживания субъектов малого и среднего предпринимательства.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В администрациях сельских поселений размещены уголки для предпринимателей с информацией о нормативной правовой документации, о формах и видах поддержки, об общественных организациях оказывающих содейс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твие в развитии предпринимательства, контактная информац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ия сотрудников администрации МО Каневской район, отвечающих за развитие малого и среднего предпринимательства. На зданиях всех сельских администраций размещены «ящики доверия» для предпринимателе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й. За отчетный период в «ящик доверия» поступило обращения не поступали.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В администрации МО Каневской район работает телефон «горячей линии», информация о котором размещена на инвестиционном портале муниципального образования Каневской район (</w:t>
      </w:r>
      <w:r>
        <w:rPr>
          <w:rFonts w:ascii="Times New Roman" w:hAnsi="Times New Roman" w:eastAsiaTheme="minorHAnsi"/>
          <w:sz w:val="28"/>
          <w:szCs w:val="28"/>
          <w:highlight w:val="white"/>
          <w:lang w:val="en-US" w:eastAsia="ar-SA"/>
        </w:rPr>
        <w:t xml:space="preserve">www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white"/>
          <w:lang w:val="en-US" w:eastAsia="ar-SA"/>
        </w:rPr>
        <w:t xml:space="preserve">kaninvest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white"/>
          <w:lang w:val="en-US" w:eastAsia="ar-SA"/>
        </w:rPr>
        <w:t xml:space="preserve">ru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), публикуется в газете и на телевидении (ООО «ТВК»).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bCs/>
          <w:color w:val="000000"/>
          <w:sz w:val="28"/>
          <w:szCs w:val="28"/>
          <w:highlight w:val="white"/>
          <w:shd w:val="clear" w:fill="auto" w:color="auto"/>
        </w:rPr>
        <w:t xml:space="preserve">Ведется Журнал учета обращений граждан и предпринимателей на телефон «Горячая линия». 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white"/>
          <w:shd w:val="clear" w:fill="auto" w:color="auto"/>
        </w:rPr>
        <w:t xml:space="preserve">За отчетный период рассмотрено 104 обращения, из них по телефону «Горячей линия» - 61, «устные обращения» - 42,</w:t>
      </w:r>
      <w:r>
        <w:rPr>
          <w:rFonts w:eastAsiaTheme="minorHAnsi"/>
          <w:highlight w:val="white"/>
        </w:rPr>
        <w:t xml:space="preserve"> </w:t>
      </w:r>
      <w:r>
        <w:rPr>
          <w:rFonts w:ascii="Times New Roman" w:hAnsi="Times New Roman" w:eastAsiaTheme="minorHAnsi"/>
          <w:bCs/>
          <w:color w:val="000000"/>
          <w:sz w:val="28"/>
          <w:szCs w:val="28"/>
          <w:highlight w:val="white"/>
          <w:shd w:val="clear" w:fill="auto" w:color="auto"/>
        </w:rPr>
        <w:t xml:space="preserve">в «ящик доверия» - 0, «письменные обращения» - 1.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В общественно-политической газете Каневского района «Каневские зори» и газете Каневской телевизионной студии «10-й канал» за отчетный период опубликовано 54 материала, касающихся вопросов предпринимательства.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Каневской телестудией подготовлено 16 сюжетов для ново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стной программы «События. Время местное и «Вовремя». На офиц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иальном сайте муниципального образования Каневской район и инвестиционном портале администрации муниципального образования Каневской район размещено 320 материалов, в социальной сети «Инстаграм» - 66 публикаций, касающихся предпринимательской деятельности.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По состоянию на 1 января 2022 года в муниципальном образовании Каневской район количество субъектов малого и среднего предпринимательства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 снизилось 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 на 0,06% и составило 3332 е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диницы.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23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Численность индивидуальных предпринимателей снизилась 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на 0,2% и составила </w:t>
      </w:r>
      <w:r>
        <w:rPr>
          <w:rFonts w:ascii="Times New Roman" w:hAnsi="Times New Roman" w:cs="Arial" w:eastAsia="DejaVu Sans Condensed" w:eastAsiaTheme="minorHAnsi"/>
          <w:sz w:val="28"/>
          <w:szCs w:val="28"/>
          <w:highlight w:val="white"/>
          <w:lang w:bidi="hi-IN" w:eastAsia="ar-SA"/>
        </w:rPr>
        <w:t xml:space="preserve">2953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единицы.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Основные виды экономической деятельности связанны с оптовой и розничной торговлей, сельским, лесным хозяйством, охотой, рыболовством и рыбоводством, транспортировкой и хранением.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В отчетном периоде количество малых предприятий (юридические лица) возросло на 1,09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% и составило 371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 предприятие.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Число средних предприятий 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осталось на уровне прошлого года - 8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 единиц.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Доля субъектов малого и среднего предпринимательства в общем количестве хозяйст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auto" w:color="auto"/>
          <w:lang w:eastAsia="ar-SA"/>
        </w:rPr>
        <w:t xml:space="preserve">вующих субъектов Каневского района 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 выросло на 5,6 % и составила – 87,5 %.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По состоянию на 1 января 2022 года на малых и средних предприятиях муниципального образования Каневской район трудится 8962 человека, что на 0,49 % ниже уровня  прошлого года.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Доля численности населения, занятого в малом и среднем предпринимательстве в численности населения, занятого в экономике муниципального образования Каневской район, снизилась на 0,64 % 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(22,8%).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Оборот субъектов малого и среднего предпринимательства за 2021 год увеличился по сравнению с аналогичным периодом предыдущего года на 4,3% и составил 18464,2 млн. рублей.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Мероприятия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подпрограммы </w:t>
      </w:r>
      <w:r>
        <w:rPr>
          <w:rFonts w:ascii="Times New Roman" w:hAnsi="Times New Roman" w:eastAsiaTheme="minorHAnsi"/>
          <w:bCs/>
          <w:sz w:val="28"/>
          <w:szCs w:val="28"/>
          <w:highlight w:val="white"/>
          <w:shd w:val="clear" w:fill="FFFFFF" w:color="auto"/>
          <w:lang w:eastAsia="ar-SA"/>
        </w:rPr>
        <w:t xml:space="preserve">«Муниципальная поддержка субъектов малого и среднего предпринимательства в муниципальном образовании Каневской район на 2015-2020 годы» выполнены на 100% от запланированного объема.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2) Подпрограмма «Формирование и продвижение экономически и инвестиционно привлекательного образа муниципального образования Каневской район в 2019-2024 годы». </w:t>
      </w:r>
      <w:r>
        <w:rPr>
          <w:rFonts w:ascii="Times New Roman" w:hAnsi="Times New Roman" w:eastAsiaTheme="minorHAnsi"/>
          <w:bCs/>
          <w:sz w:val="28"/>
          <w:szCs w:val="28"/>
          <w:highlight w:val="white"/>
          <w:shd w:val="clear" w:fill="FFFFFF" w:color="auto"/>
          <w:lang w:eastAsia="ar-SA"/>
        </w:rPr>
        <w:t xml:space="preserve">В рамках подпрограммы в 2021 году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направлено 107,4 тыс. руб., из них по мероприятиям: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- обеспечение участия в выставках, форумах и прочих имиджевых  мероприятиях — 19,0 тыс. руб.;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- модернизация и поддержка инвестиционного портала администрации муниципального образования Каневской район – 88,4 тыс. руб.;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- услуги по выполнению научно-исследовательской работы по теме «Разработка Стратегии социально-экономического развития муниципального образования Каневской район до 2030 года» - 0 тыс. руб.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Мероприятия подпрограммы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«Формирование и продвижение экономически и инвестиционно привлекательного образа муниципального образования Каневской район в 2019-2024 годы»</w:t>
      </w:r>
      <w:r>
        <w:rPr>
          <w:rFonts w:ascii="Times New Roman" w:hAnsi="Times New Roman" w:eastAsiaTheme="minorHAnsi"/>
          <w:bCs/>
          <w:sz w:val="28"/>
          <w:szCs w:val="28"/>
          <w:highlight w:val="white"/>
          <w:shd w:val="clear" w:fill="FFFFFF" w:color="auto"/>
          <w:lang w:eastAsia="ar-SA"/>
        </w:rPr>
        <w:t xml:space="preserve"> выполнены в полном объеме.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bidi="hi-IN" w:eastAsia="hi-IN"/>
        </w:rPr>
        <w:t xml:space="preserve">В 2021 году муниципальное образование Каневской район приняло участие в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bidi="hi-IN" w:eastAsia="hi-IN"/>
        </w:rPr>
        <w:t xml:space="preserve">Агропромышленных выставках «Золотая Нива - 2021»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bidi="hi-IN" w:eastAsia="hi-IN"/>
        </w:rPr>
        <w:t xml:space="preserve">и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bidi="hi-IN" w:eastAsia="hi-IN"/>
        </w:rPr>
        <w:t xml:space="preserve"> «Кубанская ярмарка - 2021»</w:t>
      </w:r>
      <w:r>
        <w:rPr>
          <w:rFonts w:eastAsiaTheme="minorHAnsi"/>
          <w:highlight w:val="white"/>
        </w:rPr>
        <w:t xml:space="preserve">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ind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В 2021 году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bidi="hi-IN" w:eastAsia="ar-SA"/>
        </w:rPr>
        <w:t xml:space="preserve">заключен 1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протокол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о намерениях по взаимодействию в сфере инвестиций на территории Краснодарского кра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я</w:t>
      </w:r>
      <w:r>
        <w:rPr>
          <w:rFonts w:ascii="Times New Roman" w:hAnsi="Times New Roman" w:cs="DejaVu Sans Condensed" w:eastAsiaTheme="minorHAnsi"/>
          <w:sz w:val="28"/>
          <w:szCs w:val="24"/>
          <w:highlight w:val="white"/>
          <w:shd w:val="clear" w:fill="FFFFFF" w:color="auto"/>
          <w:lang w:bidi="hi-IN" w:eastAsia="hi-IN"/>
        </w:rPr>
        <w:t xml:space="preserve"> с ИП Даллакян К.А. на сумму 70 млн. руб.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В соответствии с приказом департамента инвестиций и развития малого и среднего предпринимательства Краснодарского края от 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ar-SA"/>
        </w:rPr>
        <w:t xml:space="preserve">31 января 2016 года №82 «Об утверждении Положения о Единой системе инвестиционных предложений Краснодарского края» сформирован перечень инвестиционных предложений, в который входят 3 инвестиционно привлекательных земельных участка и 1 инвестиционный проект</w:t>
      </w:r>
      <w:r>
        <w:rPr>
          <w:rFonts w:ascii="Times New Roman" w:hAnsi="Times New Roman" w:cs="Tahoma" w:eastAsiaTheme="minorHAnsi"/>
          <w:sz w:val="28"/>
          <w:szCs w:val="28"/>
          <w:highlight w:val="white"/>
          <w:shd w:val="clear" w:fill="FFFFFF" w:color="auto"/>
        </w:rPr>
        <w:t xml:space="preserve"> «Завод по переработке подсолнечника».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Объем инвестиций в основной капитал за счет всех источников финансирования по итогам 2021 года составил 3605,0 млн. руб., что сос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тавляет 102,9% к уровню 2020 года. Значительный объем инвестиций, как и в предыдущие годы, приходится на промышленность и сельское хозяйство. Увеличение объема инвестиций, в значительной степени, связано с реализацией 3 крупных инвестиционных проектов.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="Times New Roman" w:eastAsiaTheme="minorHAnsi"/>
          <w:sz w:val="28"/>
          <w:szCs w:val="28"/>
          <w:highlight w:val="white"/>
          <w:lang w:eastAsia="ru-RU"/>
        </w:rPr>
        <w:t xml:space="preserve">Все средства направлены на модернизацию действующих производств,  обновление сельскохозяйственной техники, машинно-тракторных парков и оборудования, развитие животноводческого производства (ООО фирма «Калория», ООО «Консервное предприятие </w:t>
      </w:r>
      <w:r>
        <w:rPr>
          <w:rFonts w:ascii="Times New Roman" w:hAnsi="Times New Roman" w:eastAsia="Times New Roman" w:eastAsiaTheme="minorHAnsi"/>
          <w:sz w:val="28"/>
          <w:szCs w:val="28"/>
          <w:highlight w:val="white"/>
          <w:lang w:val="ru-RU" w:eastAsia="ru-RU"/>
        </w:rPr>
        <w:t xml:space="preserve">«</w:t>
      </w:r>
      <w:r>
        <w:rPr>
          <w:rFonts w:ascii="Times New Roman" w:hAnsi="Times New Roman" w:eastAsia="Times New Roman" w:eastAsiaTheme="minorHAnsi"/>
          <w:sz w:val="28"/>
          <w:szCs w:val="28"/>
          <w:highlight w:val="white"/>
          <w:lang w:eastAsia="ru-RU"/>
        </w:rPr>
        <w:t xml:space="preserve">Русское поле - Албаши», ПАО «Родина», ОАО «Россия», ОАО Дружба, </w:t>
      </w:r>
      <w:r>
        <w:rPr>
          <w:rFonts w:ascii="Times New Roman" w:hAnsi="Times New Roman" w:eastAsia="Times New Roman" w:eastAsiaTheme="minorHAnsi"/>
          <w:sz w:val="28"/>
          <w:szCs w:val="28"/>
          <w:highlight w:val="white"/>
          <w:lang w:eastAsia="ru-RU"/>
        </w:rPr>
        <w:t xml:space="preserve">ЗАО «Агрофирма-племзавод Победа»,</w:t>
      </w:r>
      <w:r>
        <w:rPr>
          <w:rFonts w:ascii="Times New Roman" w:hAnsi="Times New Roman" w:eastAsia="Times New Roman" w:eastAsiaTheme="minorHAnsi"/>
          <w:sz w:val="28"/>
          <w:szCs w:val="28"/>
          <w:highlight w:val="white"/>
          <w:lang w:eastAsia="ru-RU"/>
        </w:rPr>
        <w:t xml:space="preserve"> ОАО АПФ «Нива»,</w:t>
      </w:r>
      <w:r>
        <w:rPr>
          <w:rFonts w:ascii="Times New Roman" w:hAnsi="Times New Roman" w:eastAsia="Times New Roman" w:eastAsiaTheme="minorHAnsi"/>
          <w:sz w:val="28"/>
          <w:szCs w:val="28"/>
          <w:highlight w:val="white"/>
          <w:lang w:eastAsia="ru-RU"/>
        </w:rPr>
        <w:t xml:space="preserve">ЗАО ПЗ «Воля»</w:t>
      </w:r>
      <w:r>
        <w:rPr>
          <w:rFonts w:ascii="Times New Roman" w:hAnsi="Times New Roman" w:eastAsia="Times New Roman" w:eastAsiaTheme="minorHAnsi"/>
          <w:sz w:val="28"/>
          <w:szCs w:val="28"/>
          <w:highlight w:val="white"/>
          <w:lang w:eastAsia="ru-RU"/>
        </w:rPr>
        <w:t xml:space="preserve"> ).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Муниципальная подпрограмма </w:t>
      </w:r>
      <w:r>
        <w:rPr>
          <w:rFonts w:ascii="Times New Roman" w:hAnsi="Times New Roman" w:eastAsiaTheme="minorHAnsi"/>
          <w:sz w:val="28"/>
          <w:szCs w:val="28"/>
          <w:highlight w:val="white"/>
          <w:shd w:val="clear" w:fill="FFFFFF" w:color="auto"/>
          <w:lang w:eastAsia="ar-SA"/>
        </w:rPr>
        <w:t xml:space="preserve">«Формирование и продвижение экономически и инвестиционно привлекательного образа муниципального образования Каневской район в 2019-2024 годы»</w:t>
      </w:r>
      <w:r>
        <w:rPr>
          <w:rFonts w:ascii="Times New Roman" w:hAnsi="Times New Roman" w:eastAsiaTheme="minorHAnsi"/>
          <w:bCs/>
          <w:sz w:val="28"/>
          <w:szCs w:val="28"/>
          <w:highlight w:val="white"/>
          <w:shd w:val="clear" w:fill="FFFFFF" w:color="auto"/>
          <w:lang w:eastAsia="ar-SA"/>
        </w:rPr>
        <w:t xml:space="preserve"> выполнена на 100% от запланированного объема.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Оценка эффективности реализации муниципальной программы «Экономическое развитие и инновационная экономика муниципального образования Каневской район на 2019-2024 годы» от 28.09.2018 года №1404 показана в приложении.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851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tbl>
      <w:tblPr>
        <w:tblW w:w="9888" w:type="dxa"/>
        <w:tblInd w:w="-142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7796"/>
        <w:gridCol w:w="2091"/>
      </w:tblGrid>
      <w:tr>
        <w:trPr/>
        <w:tc>
          <w:tcPr>
            <w:shd w:val="clear" w:fill="auto" w:color="auto"/>
            <w:tcW w:w="7796" w:type="dxa"/>
            <w:textDirection w:val="lrTb"/>
            <w:noWrap w:val="false"/>
          </w:tcPr>
          <w:p>
            <w:pPr>
              <w:pStyle w:val="810"/>
              <w:spacing w:lineRule="auto" w:line="240" w:after="0" w:before="0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Заведующий сектором инвестиционной</w:t>
            </w:r>
            <w:r>
              <w:rPr>
                <w:highlight w:val="white"/>
              </w:rPr>
            </w:r>
          </w:p>
          <w:p>
            <w:pPr>
              <w:pStyle w:val="810"/>
              <w:spacing w:lineRule="auto" w:line="240" w:after="0" w:before="0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политики управления экономики администрации</w:t>
            </w:r>
            <w:r>
              <w:rPr>
                <w:highlight w:val="white"/>
              </w:rPr>
            </w:r>
          </w:p>
          <w:p>
            <w:pPr>
              <w:pStyle w:val="810"/>
              <w:spacing w:lineRule="auto" w:line="240" w:after="0" w:before="0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муниципального образования Каневской район</w:t>
              <w:br/>
            </w:r>
            <w:r>
              <w:rPr>
                <w:highlight w:val="white"/>
              </w:rPr>
            </w:r>
          </w:p>
        </w:tc>
        <w:tc>
          <w:tcPr>
            <w:shd w:val="clear" w:fill="auto" w:color="auto"/>
            <w:tcW w:w="2091" w:type="dxa"/>
            <w:textDirection w:val="lrTb"/>
            <w:noWrap w:val="false"/>
          </w:tcPr>
          <w:p>
            <w:pPr>
              <w:pStyle w:val="810"/>
              <w:jc w:val="left"/>
              <w:spacing w:lineRule="auto" w:line="276" w:after="200" w:before="0"/>
              <w:widowControl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Н.В. Савченко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shd w:val="clear" w:fill="auto" w:color="auto"/>
            <w:tcW w:w="7796" w:type="dxa"/>
            <w:textDirection w:val="lrTb"/>
            <w:noWrap w:val="false"/>
          </w:tcPr>
          <w:p>
            <w:pPr>
              <w:pStyle w:val="810"/>
              <w:spacing w:lineRule="auto" w:line="240" w:after="0" w:before="0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auto" w:color="auto"/>
            <w:tcW w:w="2091" w:type="dxa"/>
            <w:textDirection w:val="lrTb"/>
            <w:noWrap w:val="false"/>
          </w:tcPr>
          <w:p>
            <w:pPr>
              <w:pStyle w:val="810"/>
              <w:spacing w:after="200" w:befor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Приложение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851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numPr>
          <w:ilvl w:val="0"/>
          <w:numId w:val="0"/>
        </w:numPr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white"/>
          <w:lang w:eastAsia="ru-RU"/>
        </w:rPr>
        <w:t xml:space="preserve">Оценка эффективности реализации муниципальной программы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«Экономическое развитие и инновационная экономика муниципального образования Каневской район на 2019-2024 годы» от 28.09.2018 года №1404,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numPr>
          <w:ilvl w:val="0"/>
          <w:numId w:val="0"/>
        </w:numPr>
        <w:jc w:val="center"/>
        <w:spacing w:lineRule="auto" w:line="240" w:after="0" w:before="0"/>
        <w:rPr>
          <w:highlight w:val="white"/>
        </w:rPr>
        <w:outlineLvl w:val="0"/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 итогам 2021 года.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eastAsiaTheme="minorHAnsi"/>
          <w:highlight w:val="white"/>
        </w:rPr>
      </w:r>
      <w:bookmarkStart w:id="1" w:name="sub_1011"/>
      <w:r>
        <w:rPr>
          <w:rFonts w:eastAsiaTheme="minorHAnsi"/>
          <w:highlight w:val="white"/>
        </w:rPr>
      </w:r>
      <w:bookmarkEnd w:id="1"/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1.1. Оценка эффективности реализации м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eastAsiaTheme="minorHAnsi"/>
          <w:highlight w:val="white"/>
        </w:rPr>
      </w:r>
      <w:bookmarkStart w:id="2" w:name="sub_10111"/>
      <w:r>
        <w:rPr>
          <w:rFonts w:eastAsiaTheme="minorHAnsi"/>
          <w:highlight w:val="white"/>
        </w:rPr>
      </w:r>
      <w:bookmarkStart w:id="3" w:name="sub_1012"/>
      <w:r>
        <w:rPr>
          <w:rFonts w:eastAsiaTheme="minorHAnsi"/>
          <w:highlight w:val="white"/>
        </w:rPr>
      </w:r>
      <w:bookmarkEnd w:id="2"/>
      <w:r>
        <w:rPr>
          <w:rFonts w:eastAsiaTheme="minorHAnsi"/>
          <w:highlight w:val="white"/>
        </w:rPr>
      </w:r>
      <w:bookmarkEnd w:id="3"/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1.2. Оценка эффективности реализации муниципальной программы осуществляется в два этапа.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eastAsiaTheme="minorHAnsi"/>
          <w:highlight w:val="white"/>
        </w:rPr>
      </w:r>
      <w:bookmarkStart w:id="4" w:name="sub_10121"/>
      <w:r>
        <w:rPr>
          <w:rFonts w:eastAsiaTheme="minorHAnsi"/>
          <w:highlight w:val="white"/>
        </w:rPr>
      </w:r>
      <w:bookmarkEnd w:id="4"/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1.2.1. 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и включает:</w:t>
      </w:r>
      <w:bookmarkStart w:id="5" w:name="sub_101211"/>
      <w:r>
        <w:rPr>
          <w:rFonts w:eastAsiaTheme="minorHAnsi"/>
          <w:highlight w:val="white"/>
        </w:rPr>
      </w:r>
      <w:bookmarkEnd w:id="5"/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оценку степени соответствия запланированному уровню расходов;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оценку эффективности использования средств местного бюджета;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  <w:bookmarkStart w:id="6" w:name="sub_10122"/>
      <w:r>
        <w:rPr>
          <w:rFonts w:eastAsiaTheme="minorHAnsi"/>
          <w:highlight w:val="white"/>
        </w:rPr>
      </w:r>
      <w:bookmarkEnd w:id="6"/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numPr>
          <w:ilvl w:val="0"/>
          <w:numId w:val="0"/>
        </w:numPr>
        <w:jc w:val="center"/>
        <w:spacing w:lineRule="auto" w:line="240" w:after="0" w:before="0"/>
        <w:rPr>
          <w:rFonts w:ascii="Times New Roman" w:hAnsi="Times New Roman"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highlight w:val="white"/>
          <w:lang w:eastAsia="ru-RU"/>
        </w:rPr>
        <w:t xml:space="preserve">2. Оценка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</w:t>
      </w:r>
      <w:bookmarkStart w:id="7" w:name="sub_102"/>
      <w:r>
        <w:rPr>
          <w:rFonts w:eastAsiaTheme="minorHAnsi"/>
          <w:highlight w:val="white"/>
        </w:rPr>
      </w:r>
      <w:bookmarkEnd w:id="7"/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2.1. Степень реализации мероприятий оценивается для каждой подпрограммы (ведомственной целевой программы, основного мероприятия), как доля мероприятий выполненных в полном объеме по следующей формуле:</w:t>
      </w:r>
      <w:bookmarkStart w:id="8" w:name="sub_1021"/>
      <w:r>
        <w:rPr>
          <w:rFonts w:eastAsiaTheme="minorHAnsi"/>
          <w:highlight w:val="white"/>
        </w:rPr>
      </w:r>
      <w:bookmarkEnd w:id="8"/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СРм = Мв / М, где: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СРм - степень реализации мероприятий;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Мв - количество мероприятий, выполненных в полном объеме, из числа мероприятий, запланированных к реализации в отчетном году;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</w:rPr>
        <w:t xml:space="preserve">М - общее количество мероприятий, запланированных к реализации в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отче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тном году.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3 /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3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2 / 2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bookmarkStart w:id="10" w:name="sub_1022"/>
      <w:r>
        <w:rPr>
          <w:rFonts w:eastAsiaTheme="minorHAnsi"/>
        </w:rPr>
      </w:r>
      <w:bookmarkEnd w:id="10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2.2. Мероприятие может считаться выполненным в полном объеме при достижении следующих результатов: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eastAsiaTheme="minorHAnsi"/>
        </w:rPr>
      </w:r>
      <w:bookmarkStart w:id="11" w:name="sub_10221"/>
      <w:r>
        <w:rPr>
          <w:rFonts w:eastAsiaTheme="minorHAnsi"/>
        </w:rPr>
      </w:r>
      <w:bookmarkStart w:id="12" w:name="sub_102211"/>
      <w:r>
        <w:rPr>
          <w:rFonts w:eastAsiaTheme="minorHAnsi"/>
        </w:rPr>
      </w:r>
      <w:bookmarkEnd w:id="11"/>
      <w:r>
        <w:rPr>
          <w:rFonts w:eastAsiaTheme="minorHAnsi"/>
        </w:rPr>
      </w:r>
      <w:bookmarkEnd w:id="12"/>
      <w:r>
        <w:rPr>
          <w:rFonts w:ascii="Times New Roman" w:hAnsi="Times New Roman" w:eastAsiaTheme="minorHAnsi"/>
          <w:sz w:val="28"/>
          <w:szCs w:val="28"/>
        </w:rPr>
        <w:t xml:space="preserve">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</w:t>
      </w:r>
      <w:r>
        <w:rPr>
          <w:rFonts w:ascii="Times New Roman" w:hAnsi="Times New Roman" w:eastAsiaTheme="minorHAnsi"/>
          <w:sz w:val="28"/>
          <w:szCs w:val="28"/>
        </w:rPr>
        <w:t xml:space="preserve">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eastAsiaTheme="minorHAnsi"/>
        </w:rPr>
      </w:r>
      <w:bookmarkStart w:id="13" w:name="sub_102212"/>
      <w:r>
        <w:rPr>
          <w:rFonts w:eastAsiaTheme="minorHAnsi"/>
        </w:rPr>
      </w:r>
      <w:bookmarkEnd w:id="13"/>
      <w:r>
        <w:rPr>
          <w:rFonts w:ascii="Times New Roman" w:hAnsi="Times New Roman" w:eastAsiaTheme="minorHAnsi"/>
          <w:sz w:val="28"/>
          <w:szCs w:val="28"/>
        </w:rPr>
        <w:t xml:space="preserve">2.2.2. 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  <w:bookmarkStart w:id="14" w:name="sub_10223"/>
      <w:r>
        <w:rPr>
          <w:rFonts w:eastAsiaTheme="minorHAnsi"/>
        </w:rPr>
      </w:r>
      <w:bookmarkEnd w:id="14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numPr>
          <w:ilvl w:val="0"/>
          <w:numId w:val="0"/>
        </w:numPr>
        <w:ind w:firstLine="709"/>
        <w:jc w:val="both"/>
        <w:spacing w:lineRule="auto" w:line="240" w:after="0" w:before="0"/>
        <w:rPr>
          <w:rFonts w:ascii="Times New Roman" w:hAnsi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lang w:eastAsia="ru-RU"/>
        </w:rPr>
        <w:t xml:space="preserve">3. Оценка степени соответствия запланированному уровню расходов</w:t>
      </w:r>
      <w:bookmarkStart w:id="15" w:name="sub_103"/>
      <w:r>
        <w:rPr>
          <w:rFonts w:eastAsiaTheme="minorHAnsi"/>
        </w:rPr>
      </w:r>
      <w:bookmarkEnd w:id="15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3.1. Степень соотве</w:t>
      </w:r>
      <w:r>
        <w:rPr>
          <w:rFonts w:ascii="Times New Roman" w:hAnsi="Times New Roman" w:eastAsiaTheme="minorHAnsi"/>
          <w:sz w:val="28"/>
          <w:szCs w:val="28"/>
        </w:rPr>
        <w:t xml:space="preserve">тствия запланированному уровню расходов оценивается для каждой подпрограммы (ведомственной целевой программы, 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  <w:bookmarkStart w:id="16" w:name="sub_1031"/>
      <w:r>
        <w:rPr>
          <w:rFonts w:eastAsiaTheme="minorHAnsi"/>
        </w:rPr>
      </w:r>
      <w:bookmarkEnd w:id="16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ССуз = Зф / Зп, где: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ССуз - степень соответствия запланированному уровню расходов;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Зф - фактические расходы на реализацию подпрограммы (ведомственной целевой программы, основного мероприятия) в отчетном году;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Зп - объемы бюджетных ассигнований, предусмотренные на р</w:t>
      </w:r>
      <w:r>
        <w:rPr>
          <w:rFonts w:ascii="Times New Roman" w:hAnsi="Times New Roman" w:eastAsiaTheme="minorHAnsi"/>
          <w:sz w:val="28"/>
          <w:szCs w:val="28"/>
        </w:rPr>
        <w:t xml:space="preserve">еализацию соответствующей подпрограммы (ведомственной целевой программы, основного мероприятия) краевого и местного бюджета на отчетный год в соответствии с действующей на момент проведения оценки эффективности ре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ализации редакцией муниципальной программы.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274,4 / 274,4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107,4 / 107,4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3.2. С учетом специфик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и конкретно</w:t>
      </w:r>
      <w:r>
        <w:rPr>
          <w:rFonts w:ascii="Times New Roman" w:hAnsi="Times New Roman" w:eastAsiaTheme="minorHAnsi"/>
          <w:sz w:val="28"/>
          <w:szCs w:val="28"/>
        </w:rPr>
        <w:t xml:space="preserve">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  <w:bookmarkStart w:id="17" w:name="sub_1032"/>
      <w:r>
        <w:rPr>
          <w:rFonts w:eastAsiaTheme="minorHAnsi"/>
        </w:rPr>
      </w:r>
      <w:bookmarkEnd w:id="17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numPr>
          <w:ilvl w:val="0"/>
          <w:numId w:val="0"/>
        </w:numPr>
        <w:jc w:val="center"/>
        <w:spacing w:lineRule="auto" w:line="240" w:after="0" w:before="0"/>
        <w:rPr>
          <w:rFonts w:ascii="Times New Roman" w:hAnsi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lang w:eastAsia="ru-RU"/>
        </w:rPr>
        <w:t xml:space="preserve">4. Оценка эффективности использования средств местного бюджета</w:t>
      </w:r>
      <w:bookmarkStart w:id="18" w:name="sub_104"/>
      <w:r>
        <w:rPr>
          <w:rFonts w:eastAsiaTheme="minorHAnsi"/>
        </w:rPr>
      </w:r>
      <w:bookmarkEnd w:id="18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Эффективность использования бюджетны</w:t>
      </w:r>
      <w:r>
        <w:rPr>
          <w:rFonts w:ascii="Times New Roman" w:hAnsi="Times New Roman" w:eastAsiaTheme="minorHAnsi"/>
          <w:sz w:val="28"/>
          <w:szCs w:val="28"/>
        </w:rPr>
        <w:t xml:space="preserve">х средств рассчитывается для каждой подпрограммы (ведомственной целевой программы, 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Эис = СРм / ССуз, где: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Эис - эффективность использования средств местного бюджета;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СРм - степень реализации мероприятий, полностью или частично финансируемых из средств местного бюджета;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ССуз - степень соответствия запланированному уровню расходов из средств местного бюджета.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1 / 1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1 / 1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Если доля финансового обеспечени</w:t>
      </w:r>
      <w:r>
        <w:rPr>
          <w:rFonts w:ascii="Times New Roman" w:hAnsi="Times New Roman" w:eastAsiaTheme="minorHAnsi"/>
          <w:sz w:val="28"/>
          <w:szCs w:val="28"/>
        </w:rPr>
        <w:t xml:space="preserve">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</w:t>
      </w:r>
      <w:r>
        <w:rPr>
          <w:rFonts w:ascii="Times New Roman" w:hAnsi="Times New Roman" w:eastAsiaTheme="minorHAnsi"/>
          <w:sz w:val="28"/>
          <w:szCs w:val="28"/>
        </w:rPr>
        <w:t xml:space="preserve">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Эис = СРм / ССуз, где: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Эис - эффективность использования финансовых ресурсов на реализацию подпрограммы (ведомственной целевой программы, основного мероприятия);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СРм - степень реализации всех мероприятий подпрограммы (ведомственной целевой программы, основного мероприятия);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ССуз - степень соответствия запланированному уровню расходов из всех источников.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numPr>
          <w:ilvl w:val="0"/>
          <w:numId w:val="0"/>
        </w:numPr>
        <w:jc w:val="center"/>
        <w:spacing w:lineRule="auto" w:line="240" w:after="0" w:before="0"/>
        <w:rPr>
          <w:rFonts w:ascii="Times New Roman" w:hAnsi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lang w:eastAsia="ru-RU"/>
        </w:rPr>
        <w:t xml:space="preserve">5. Оценка степени достижения целей и решения задач подпрограммы (ведомственной целевой программы, основного мероприятия)</w:t>
      </w:r>
      <w:bookmarkStart w:id="19" w:name="sub_105"/>
      <w:r>
        <w:rPr>
          <w:rFonts w:eastAsiaTheme="minorHAnsi"/>
        </w:rPr>
      </w:r>
      <w:bookmarkEnd w:id="19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eastAsiaTheme="minorHAnsi"/>
        </w:rPr>
      </w:r>
      <w:bookmarkStart w:id="20" w:name="sub_1051"/>
      <w:r>
        <w:rPr>
          <w:rFonts w:eastAsiaTheme="minorHAnsi"/>
        </w:rPr>
      </w:r>
      <w:bookmarkEnd w:id="20"/>
      <w:r>
        <w:rPr>
          <w:rFonts w:ascii="Times New Roman" w:hAnsi="Times New Roman" w:eastAsiaTheme="minorHAnsi"/>
          <w:sz w:val="28"/>
          <w:szCs w:val="28"/>
        </w:rPr>
        <w:t xml:space="preserve">5.1. Для оценки степени достижения целей и решения задач (далее -степень реал</w:t>
      </w:r>
      <w:r>
        <w:rPr>
          <w:rFonts w:ascii="Times New Roman" w:hAnsi="Times New Roman" w:eastAsiaTheme="minorHAnsi"/>
          <w:sz w:val="28"/>
          <w:szCs w:val="28"/>
        </w:rPr>
        <w:t xml:space="preserve">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eastAsiaTheme="minorHAnsi"/>
        </w:rPr>
      </w:r>
      <w:bookmarkStart w:id="21" w:name="sub_10511"/>
      <w:r>
        <w:rPr>
          <w:rFonts w:eastAsiaTheme="minorHAnsi"/>
        </w:rPr>
      </w:r>
      <w:bookmarkEnd w:id="21"/>
      <w:r>
        <w:rPr>
          <w:rFonts w:ascii="Times New Roman" w:hAnsi="Times New Roman" w:eastAsiaTheme="minorHAnsi"/>
          <w:sz w:val="28"/>
          <w:szCs w:val="28"/>
        </w:rPr>
        <w:t xml:space="preserve">5.2. Степень достижения планового значения целевого показателя рассчитывается по следующим формулам:</w:t>
      </w:r>
      <w:bookmarkStart w:id="22" w:name="sub_1052"/>
      <w:r>
        <w:rPr>
          <w:rFonts w:eastAsiaTheme="minorHAnsi"/>
        </w:rPr>
      </w:r>
      <w:bookmarkEnd w:id="22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СДп/ппз = ЗПп/пф / ЗПп/пп,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показатель 1.1.</w:t>
        <w:tab/>
        <w:t xml:space="preserve">1 = 1,0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8 =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2,8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/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,2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показатель 1.2.</w:t>
        <w:tab/>
      </w:r>
      <w:bookmarkStart w:id="23" w:name="__DdeLink__404_3534193807"/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 = 1,02 = 3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2,8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/ 32,1</w:t>
      </w:r>
      <w:bookmarkEnd w:id="23"/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показатель 1.3.</w:t>
        <w:tab/>
        <w:t xml:space="preserve">1 = 1,0 = 248 / 248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показатель 1.1.</w:t>
        <w:tab/>
        <w:t xml:space="preserve">1 = 1,34 = </w:t>
      </w:r>
      <w:r>
        <w:rPr>
          <w:rFonts w:ascii="Times New Roman" w:hAnsi="Times New Roman" w:eastAsiaTheme="minorHAnsi"/>
          <w:b w:val="false"/>
          <w:i w:val="false"/>
          <w:strike w:val="false"/>
          <w:color w:val="000000"/>
          <w:sz w:val="28"/>
          <w:szCs w:val="28"/>
          <w:highlight w:val="white"/>
          <w:u w:val="none"/>
          <w:lang w:eastAsia="en-US"/>
        </w:rPr>
        <w:t xml:space="preserve">3605,0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/ 2700,0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для целевых показателей, желаемой тенденцией развития которых является снижение значений: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СДп/ппз = ЗПп/пп / ЗПп/пф, где: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ЗПп/пп - плановое значе</w:t>
      </w:r>
      <w:r>
        <w:rPr>
          <w:rFonts w:ascii="Times New Roman" w:hAnsi="Times New Roman" w:eastAsiaTheme="minorHAnsi"/>
          <w:sz w:val="28"/>
          <w:szCs w:val="28"/>
        </w:rPr>
        <w:t xml:space="preserve">ние целевого показателя подпрограммы (ведомственной целевой программы, основного мероприятия).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5.3. Степень реализации подпрограммы (ведомственной целевой программы, основного мероприятия) рассчитывается по формуле:</w:t>
      </w:r>
      <w:bookmarkStart w:id="24" w:name="sub_1053"/>
      <w:r>
        <w:rPr>
          <w:rFonts w:eastAsiaTheme="minorHAnsi"/>
        </w:rPr>
      </w:r>
      <w:bookmarkEnd w:id="24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center"/>
        <w:spacing w:lineRule="auto" w:line="240" w:after="0" w:before="0"/>
        <w:tabs>
          <w:tab w:val="clear" w:pos="408" w:leader="none"/>
          <w:tab w:val="left" w:pos="1515" w:leader="none"/>
          <w:tab w:val="center" w:pos="4819" w:leader="none"/>
        </w:tabs>
        <w:rPr>
          <w:rFonts w:ascii="Times New Roman" w:hAnsi="Times New Roman"/>
          <w:sz w:val="28"/>
          <w:szCs w:val="28"/>
        </w:rPr>
      </w:pPr>
      <w:r>
        <w:rPr>
          <w:rFonts w:eastAsiaTheme="minorHAns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760" cy="467360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62760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38.8pt;height:36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Theme="minorHAnsi"/>
          <w:sz w:val="28"/>
          <w:szCs w:val="28"/>
        </w:rPr>
        <w:t xml:space="preserve">, где: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СРп/п - степень реализации подпрограммы (ведомственной целевой программы, основного мероприятия);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СДп/ппз ~ степень достижения планового значения целевого показателя подпрограммы (ведомственной целевой программы, основного мероприятия);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N - число целевых показателей подпрограммы (ведомственной целевой программы, основного мероприятия).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3 / 3 = (1+1+1) / 3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1 / 1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При использовании данной формулы в слу</w:t>
      </w:r>
      <w:r>
        <w:rPr>
          <w:rFonts w:ascii="Times New Roman" w:hAnsi="Times New Roman" w:eastAsiaTheme="minorHAnsi"/>
          <w:sz w:val="28"/>
          <w:szCs w:val="28"/>
        </w:rPr>
        <w:t xml:space="preserve">чаях, если СДп/ппз&gt;1, значение СДп/ппз принимается равным 1.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 w:eastAsiaTheme="minorHAnsi"/>
          <w:sz w:val="28"/>
          <w:szCs w:val="28"/>
          <w:highlight w:val="cyan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numPr>
          <w:ilvl w:val="0"/>
          <w:numId w:val="0"/>
        </w:numPr>
        <w:jc w:val="center"/>
        <w:spacing w:lineRule="auto" w:line="240" w:after="0" w:before="0"/>
        <w:rPr>
          <w:rFonts w:ascii="Times New Roman" w:hAnsi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lang w:eastAsia="ru-RU"/>
        </w:rPr>
        <w:t xml:space="preserve">6. Оценка эффективности реализации подпрограммы, (ведомственной целевой программы, основного мероприятия)</w:t>
      </w:r>
      <w:bookmarkStart w:id="25" w:name="sub_106"/>
      <w:r>
        <w:rPr>
          <w:rFonts w:eastAsiaTheme="minorHAnsi"/>
        </w:rPr>
      </w:r>
      <w:bookmarkEnd w:id="25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 w:eastAsiaTheme="minorHAnsi"/>
          <w:sz w:val="28"/>
          <w:szCs w:val="28"/>
          <w:highlight w:val="cyan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6.1. Эффективность реализации подпрограммы (ведомственной цел</w:t>
      </w:r>
      <w:r>
        <w:rPr>
          <w:rFonts w:ascii="Times New Roman" w:hAnsi="Times New Roman" w:eastAsiaTheme="minorHAnsi"/>
          <w:sz w:val="28"/>
          <w:szCs w:val="28"/>
        </w:rPr>
        <w:t xml:space="preserve">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местного бюджета по следующей формуле:</w:t>
      </w:r>
      <w:bookmarkStart w:id="26" w:name="sub_1061"/>
      <w:r>
        <w:rPr>
          <w:rFonts w:eastAsiaTheme="minorHAnsi"/>
        </w:rPr>
      </w:r>
      <w:bookmarkEnd w:id="26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ЭРп/п = СРп/п * Эис, где: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 w:eastAsiaTheme="minorHAnsi"/>
          <w:sz w:val="28"/>
          <w:szCs w:val="28"/>
          <w:highlight w:val="cyan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ЭРп/п - эффективность реализации подпрограммы (ведомственной целевой программы, основного мероприятия);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СРп/п - степень реализации подпрограммы (ведомственной целевой программы, основного мероприятия);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домственной целевой программы, основного мероприятия).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1 * 1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1 = 1 * 1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6.2. Эффективность реализации подпрограммы (ведомственной целевой программы, основного мероприятия) признается высокой в случае, если значение ЭРп/п составляет не менее 0,9.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ЭРп/п = 1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u w:val="single"/>
        </w:rPr>
        <w:t xml:space="preserve">Подпрограмма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ab/>
        <w:tab/>
        <w:t xml:space="preserve">ЭРп/п = 1</w:t>
      </w:r>
      <w:bookmarkStart w:id="27" w:name="sub_1062"/>
      <w:r>
        <w:rPr>
          <w:rFonts w:eastAsiaTheme="minorHAnsi"/>
          <w:highlight w:val="white"/>
        </w:rPr>
      </w:r>
      <w:bookmarkEnd w:id="27"/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Эффективность реализации подпрограммы (ведомственной целевой программы, основного мероприятия) признается средней в случае, если значение ЭРп/п составляет не менее 0,8.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Эффективность реализации подпрограммы (ведомственной целевой программы, основного меро</w:t>
      </w:r>
      <w:r>
        <w:rPr>
          <w:rFonts w:ascii="Times New Roman" w:hAnsi="Times New Roman" w:eastAsiaTheme="minorHAnsi"/>
          <w:sz w:val="28"/>
          <w:szCs w:val="28"/>
        </w:rPr>
        <w:t xml:space="preserve">приятия) признается удовлетворительной в случае, если значение ЭРп/п составляет не менее 0,7.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 w:eastAsiaTheme="minorHAnsi"/>
          <w:sz w:val="28"/>
          <w:szCs w:val="28"/>
          <w:highlight w:val="cyan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numPr>
          <w:ilvl w:val="0"/>
          <w:numId w:val="0"/>
        </w:numPr>
        <w:jc w:val="center"/>
        <w:spacing w:lineRule="auto" w:line="240" w:after="0" w:before="0"/>
        <w:rPr>
          <w:rFonts w:ascii="Times New Roman" w:hAnsi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lang w:eastAsia="ru-RU"/>
        </w:rPr>
        <w:t xml:space="preserve">7. Оценка степени достижения целей и решения задач муниципальной программы</w:t>
      </w:r>
      <w:bookmarkStart w:id="28" w:name="sub_107"/>
      <w:r>
        <w:rPr>
          <w:rFonts w:eastAsiaTheme="minorHAnsi"/>
        </w:rPr>
      </w:r>
      <w:bookmarkEnd w:id="28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 w:eastAsiaTheme="minorHAnsi"/>
          <w:sz w:val="28"/>
          <w:szCs w:val="28"/>
          <w:highlight w:val="cyan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eastAsiaTheme="minorHAnsi"/>
        </w:rPr>
      </w:r>
      <w:bookmarkStart w:id="29" w:name="sub_1071"/>
      <w:r>
        <w:rPr>
          <w:rFonts w:eastAsiaTheme="minorHAnsi"/>
        </w:rPr>
      </w:r>
      <w:bookmarkEnd w:id="29"/>
      <w:r>
        <w:rPr>
          <w:rFonts w:ascii="Times New Roman" w:hAnsi="Times New Roman" w:eastAsiaTheme="minorHAnsi"/>
          <w:sz w:val="28"/>
          <w:szCs w:val="28"/>
        </w:rPr>
        <w:t xml:space="preserve"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eastAsiaTheme="minorHAnsi"/>
        </w:rPr>
      </w:r>
      <w:bookmarkStart w:id="30" w:name="sub_10711"/>
      <w:r>
        <w:rPr>
          <w:rFonts w:eastAsiaTheme="minorHAnsi"/>
        </w:rPr>
      </w:r>
      <w:bookmarkEnd w:id="30"/>
      <w:r>
        <w:rPr>
          <w:rFonts w:ascii="Times New Roman" w:hAnsi="Times New Roman" w:eastAsiaTheme="minorHAnsi"/>
          <w:sz w:val="28"/>
          <w:szCs w:val="28"/>
        </w:rPr>
        <w:t xml:space="preserve"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  <w:bookmarkStart w:id="31" w:name="sub_1072"/>
      <w:r>
        <w:rPr>
          <w:rFonts w:eastAsiaTheme="minorHAnsi"/>
        </w:rPr>
      </w:r>
      <w:bookmarkEnd w:id="31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 w:eastAsiaTheme="minorHAnsi"/>
          <w:sz w:val="28"/>
          <w:szCs w:val="28"/>
          <w:highlight w:val="cyan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СДмппз = ЗПмпф / ЗПмпп,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                                      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 =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1,0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8 =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2,8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/ 2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,2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                                      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 =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1,02 = 3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2,8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/ 32,1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                                       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 =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1,0 = 248 / 248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                                       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 =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1,34 = </w:t>
      </w:r>
      <w:r>
        <w:rPr>
          <w:rFonts w:ascii="Times New Roman" w:hAnsi="Times New Roman" w:eastAsiaTheme="minorHAnsi"/>
          <w:b w:val="false"/>
          <w:i w:val="false"/>
          <w:strike w:val="false"/>
          <w:color w:val="000000"/>
          <w:sz w:val="28"/>
          <w:szCs w:val="28"/>
          <w:highlight w:val="white"/>
          <w:u w:val="none"/>
          <w:lang w:eastAsia="en-US"/>
        </w:rPr>
        <w:t xml:space="preserve">3605,0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/ 2700,0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для целевых показателей, желаемой тенденцией развития которых является снижение значений: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СДмппз = ЗПмпп / ЗПмпф, где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СДмппз - степень достижения планового значения целевого показателя, характеризующего цели и задачи муниципальной программы;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ЗПмпф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ЗПмпп - плановое значение целевого показателя, характеризующего цели и задачи муниципальной программы.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eastAsiaTheme="minorHAnsi"/>
          <w:highlight w:val="white"/>
        </w:rPr>
      </w:r>
      <w:bookmarkStart w:id="32" w:name="sub_1073"/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7.3. Степень реализации муниципальной программы рассчитывается по формуле:</w:t>
      </w:r>
      <w:bookmarkEnd w:id="32"/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spacing w:lineRule="auto" w:line="240" w:after="0" w:before="0"/>
        <w:tabs>
          <w:tab w:val="clear" w:pos="408" w:leader="none"/>
          <w:tab w:val="left" w:pos="3120" w:leader="none"/>
          <w:tab w:val="center" w:pos="4819" w:leader="none"/>
        </w:tabs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  <w:lang w:eastAsia="ru-RU"/>
        </w:rPr>
        <w:tab/>
      </w:r>
      <w:r>
        <w:rPr>
          <w:rFonts w:eastAsiaTheme="minorHAnsi"/>
          <w:highlight w:val="white"/>
        </w:rPr>
        <w:fldChar w:fldCharType="begin"/>
      </w:r>
      <w:r>
        <w:rPr>
          <w:rFonts w:ascii="Times New Roman" w:hAnsi="Times New Roman" w:eastAsiaTheme="minorHAnsi"/>
          <w:sz w:val="28"/>
          <w:szCs w:val="28"/>
          <w:highlight w:val="white"/>
        </w:rPr>
        <w:instrText xml:space="preserve">QUOTE</w:instrText>
      </w:r>
      <w:r>
        <w:rPr>
          <w:rFonts w:ascii="Times New Roman" w:hAnsi="Times New Roman" w:eastAsiaTheme="minorHAnsi"/>
          <w:sz w:val="28"/>
          <w:szCs w:val="28"/>
          <w:highlight w:val="white"/>
        </w:rPr>
        <w:fldChar w:fldCharType="separate"/>
      </w:r>
      <w:bookmarkStart w:id="33" w:name="Bookmark"/>
      <w:r>
        <w:rPr>
          <w:rFonts w:ascii="Times New Roman" w:hAnsi="Times New Roman" w:eastAsiaTheme="minorHAnsi"/>
          <w:sz w:val="28"/>
          <w:szCs w:val="28"/>
          <w:highlight w:val="white"/>
        </w:rPr>
        <w:fldChar w:fldCharType="end"/>
      </w:r>
      <w:bookmarkStart w:id="34" w:name="Bookmark11"/>
      <w:r>
        <w:rPr>
          <w:rFonts w:eastAsiaTheme="minorHAnsi"/>
          <w:highlight w:val="white"/>
        </w:rPr>
      </w:r>
      <w:bookmarkStart w:id="35" w:name="Bookmark1"/>
      <w:r>
        <w:rPr>
          <w:rFonts w:eastAsiaTheme="minorHAnsi"/>
          <w:highlight w:val="white"/>
        </w:rPr>
      </w:r>
      <w:bookmarkEnd w:id="33"/>
      <w:r>
        <w:rPr>
          <w:rFonts w:eastAsiaTheme="minorHAnsi"/>
          <w:highlight w:val="white"/>
        </w:rPr>
      </w:r>
      <w:bookmarkEnd w:id="34"/>
      <w:r>
        <w:rPr>
          <w:rFonts w:eastAsiaTheme="minorHAnsi"/>
          <w:highlight w:val="white"/>
        </w:rPr>
      </w:r>
      <w:bookmarkEnd w:id="35"/>
      <w:r>
        <w:rPr>
          <w:rFonts w:eastAsiaTheme="minorHAnsi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835" cy="248285"/>
                <wp:effectExtent l="0" t="0" r="0" b="0"/>
                <wp:docPr id="2" name="Изображение2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2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600835" cy="24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26.0pt;height:19.6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Theme="minorHAnsi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835" cy="248285"/>
                <wp:effectExtent l="0" t="0" r="0" b="0"/>
                <wp:docPr id="3" name="Изображение3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3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600835" cy="24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26.0pt;height:19.6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Theme="minorHAnsi"/>
          <w:sz w:val="28"/>
          <w:szCs w:val="28"/>
          <w:highlight w:val="white"/>
          <w:lang w:eastAsia="ru-RU"/>
        </w:rPr>
        <w:tab/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 = 4 / 4 = (1+1+1+1) / 4, где: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СРмп - степень реализации муниципальной программы;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СДмппз - степень достижения планового значения целевого показателя (индикатора), характеризующего цели и задачи муниципальной программы;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М - число целевых показателей, характеризующих цели и задачи муниципальной программы.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При использовании данной формулы в случаях, если СДмппз&gt;1, значение СДмппз принимается равным 1.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numPr>
          <w:ilvl w:val="0"/>
          <w:numId w:val="0"/>
        </w:numPr>
        <w:jc w:val="center"/>
        <w:spacing w:lineRule="auto" w:line="240" w:after="0" w:before="0"/>
        <w:rPr>
          <w:rFonts w:ascii="Times New Roman" w:hAnsi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Theme="minorHAnsi"/>
          <w:bCs/>
          <w:sz w:val="28"/>
          <w:szCs w:val="28"/>
          <w:lang w:eastAsia="ru-RU"/>
        </w:rPr>
        <w:t xml:space="preserve">8. Оценка эффективности реализации муниципальной программы</w:t>
      </w:r>
      <w:bookmarkStart w:id="36" w:name="sub_108"/>
      <w:r>
        <w:rPr>
          <w:rFonts w:eastAsiaTheme="minorHAnsi"/>
        </w:rPr>
      </w:r>
      <w:bookmarkEnd w:id="36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8.1. Эффективность реал</w:t>
      </w:r>
      <w:r>
        <w:rPr>
          <w:rFonts w:ascii="Times New Roman" w:hAnsi="Times New Roman" w:eastAsiaTheme="minorHAnsi"/>
          <w:sz w:val="28"/>
          <w:szCs w:val="28"/>
        </w:rPr>
        <w:t xml:space="preserve">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  <w:bookmarkStart w:id="37" w:name="sub_1081"/>
      <w:r>
        <w:rPr>
          <w:rFonts w:eastAsiaTheme="minorHAnsi"/>
        </w:rPr>
      </w:r>
      <w:bookmarkEnd w:id="37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eastAsiaTheme="minorHAnsi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20060" cy="476885"/>
                <wp:effectExtent l="0" t="0" r="0" b="0"/>
                <wp:docPr id="4" name="Изображение4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4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020060" cy="476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37.8pt;height:37.5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center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1  = 0,5 + 0,5= 0,5 * 1 + 0,5 * (1*0,72 + 1*0,28),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где: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ЭРмп - эффективность реализации муниципальной программы;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СРмп - степень реализации муниципальной программы;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ЭРп/п - эффективность реализации подпрограммы (ведомственной целевой программы, основного мероприятия);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kj - коэффициент значимост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kj = Фj / Ф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center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center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0,72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=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274,4 / </w:t>
      </w:r>
      <w:r>
        <w:rPr>
          <w:rFonts w:ascii="Times New Roman" w:hAnsi="Times New Roman" w:eastAsiaTheme="minorHAnsi"/>
          <w:sz w:val="28"/>
          <w:szCs w:val="28"/>
          <w:highlight w:val="white"/>
          <w:lang w:eastAsia="en-US"/>
        </w:rPr>
        <w:t xml:space="preserve">381,8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center"/>
        <w:spacing w:lineRule="auto" w:line="240" w:after="0" w:before="0"/>
        <w:rPr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       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0,28 = 107,4 /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381,8 где: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Фj - объем фактических расходов из местного бюджета (кассового исполнения) на реализацию j-той подпрограммы (ведомственной целевой программы, основного мероприятия) в отчетном году;</w:t>
      </w:r>
      <w:r>
        <w:rPr>
          <w:rFonts w:eastAsiaTheme="minorHAnsi"/>
          <w:highlight w:val="white"/>
        </w:rPr>
      </w:r>
      <w:r>
        <w:rPr>
          <w:rFonts w:eastAsiaTheme="minorHAnsi"/>
          <w:highlight w:val="white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Ф - объем фактических расходов из местного бюджета (кассового исполнения) на реализацию муниципальной</w:t>
      </w:r>
      <w:r>
        <w:rPr>
          <w:rFonts w:ascii="Times New Roman" w:hAnsi="Times New Roman" w:eastAsiaTheme="minorHAnsi"/>
          <w:sz w:val="28"/>
          <w:szCs w:val="28"/>
        </w:rPr>
        <w:t xml:space="preserve"> программы;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j - количество подпрограмм (ведомственных целевых программ, основных мероприятий).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ЭРмп составляет не менее 0,90.</w:t>
      </w:r>
      <w:bookmarkStart w:id="39" w:name="sub_1082"/>
      <w:r>
        <w:rPr>
          <w:rFonts w:eastAsiaTheme="minorHAnsi"/>
        </w:rPr>
      </w:r>
      <w:bookmarkEnd w:id="39"/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ЭРмп, составляет не менее 0,80.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ЭРмп составляет не менее 0,70.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ind w:firstLine="708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остальных случаях эффективность реализации муниципальной программы признается неудовлетворительной.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numPr>
          <w:ilvl w:val="0"/>
          <w:numId w:val="0"/>
        </w:numPr>
        <w:ind w:firstLine="709"/>
        <w:jc w:val="both"/>
        <w:spacing w:lineRule="auto" w:line="240" w:after="0" w:before="0"/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Вывод: </w:t>
      </w:r>
      <w:r>
        <w:rPr>
          <w:rFonts w:ascii="Times New Roman" w:hAnsi="Times New Roman" w:eastAsiaTheme="minorHAnsi"/>
          <w:bCs/>
          <w:sz w:val="28"/>
          <w:szCs w:val="28"/>
          <w:lang w:eastAsia="ru-RU"/>
        </w:rPr>
        <w:t xml:space="preserve">эффективность реализации муниципальной программы </w:t>
      </w:r>
      <w:r>
        <w:rPr>
          <w:rFonts w:ascii="Times New Roman" w:hAnsi="Times New Roman" w:eastAsiaTheme="minorHAnsi"/>
          <w:sz w:val="28"/>
          <w:szCs w:val="28"/>
        </w:rPr>
        <w:t xml:space="preserve">«Экономическое развитие и инновационная экономика муниципального образования Каневской район на 2019-2024 годы» по итогам 2020 года признается высокой и равна коэффициенту 1.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Заведующий сектором инвестиционной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spacing w:lineRule="auto" w:line="240" w:after="0" w:before="0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политики управления экономики администрации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10"/>
        <w:jc w:val="both"/>
        <w:spacing w:lineRule="auto" w:line="240" w:after="0" w:before="0"/>
      </w:pPr>
      <w:r>
        <w:rPr>
          <w:rFonts w:ascii="Times New Roman" w:hAnsi="Times New Roman" w:eastAsiaTheme="minorHAnsi"/>
          <w:sz w:val="28"/>
          <w:szCs w:val="28"/>
          <w:lang w:eastAsia="ru-RU"/>
        </w:rPr>
        <w:t xml:space="preserve">муниципального образования Каневской район                               Н.В. Савченко</w:t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DejaVu Sans Condensed">
    <w:panose1 w:val="020B0606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1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1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1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1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1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1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1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1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1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0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0"/>
    <w:next w:val="810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1"/>
    <w:link w:val="822"/>
    <w:uiPriority w:val="99"/>
  </w:style>
  <w:style w:type="paragraph" w:styleId="663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character" w:styleId="665">
    <w:name w:val="Caption Char"/>
    <w:basedOn w:val="818"/>
    <w:link w:val="663"/>
    <w:uiPriority w:val="99"/>
  </w:style>
  <w:style w:type="table" w:styleId="666">
    <w:name w:val="Table Grid"/>
    <w:basedOn w:val="82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rFonts w:ascii="Calibri" w:hAnsi="Calibri" w:cs="Times New Roman" w:eastAsia="Calibri"/>
      <w:color w:val="auto"/>
      <w:sz w:val="22"/>
      <w:szCs w:val="22"/>
      <w:lang w:val="ru-RU" w:bidi="ar-SA" w:eastAsia="en-US"/>
    </w:rPr>
    <w:pPr>
      <w:jc w:val="left"/>
      <w:spacing w:lineRule="auto" w:line="276" w:after="200" w:before="0"/>
      <w:widowControl/>
    </w:pPr>
  </w:style>
  <w:style w:type="character" w:styleId="811" w:default="1">
    <w:name w:val="Default Paragraph Font"/>
    <w:qFormat/>
    <w:uiPriority w:val="1"/>
    <w:semiHidden/>
    <w:unhideWhenUsed/>
  </w:style>
  <w:style w:type="character" w:styleId="812" w:customStyle="1">
    <w:name w:val="Текст выноски Знак"/>
    <w:qFormat/>
    <w:uiPriority w:val="99"/>
    <w:semiHidden/>
    <w:rPr>
      <w:rFonts w:ascii="Tahoma" w:hAnsi="Tahoma" w:cs="Tahoma"/>
      <w:sz w:val="16"/>
      <w:szCs w:val="16"/>
    </w:rPr>
  </w:style>
  <w:style w:type="character" w:styleId="813" w:customStyle="1">
    <w:name w:val="Верхний колонтитул Знак"/>
    <w:qFormat/>
    <w:rPr>
      <w:rFonts w:ascii="Times New Roman" w:hAnsi="Times New Roman" w:eastAsia="Times New Roman"/>
      <w:lang w:eastAsia="ar-SA"/>
    </w:rPr>
  </w:style>
  <w:style w:type="character" w:styleId="814">
    <w:name w:val="Strong"/>
    <w:qFormat/>
    <w:rPr>
      <w:b/>
      <w:bCs/>
    </w:rPr>
  </w:style>
  <w:style w:type="paragraph" w:styleId="815">
    <w:name w:val="Заголовок"/>
    <w:basedOn w:val="810"/>
    <w:next w:val="816"/>
    <w:qFormat/>
    <w:rPr>
      <w:rFonts w:ascii="PT Astra Serif" w:hAnsi="PT Astra Serif" w:cs="Noto Sans Devanagari" w:eastAsia="Tahoma"/>
      <w:sz w:val="28"/>
      <w:szCs w:val="28"/>
    </w:rPr>
    <w:pPr>
      <w:keepNext/>
      <w:spacing w:after="120" w:before="240"/>
    </w:pPr>
  </w:style>
  <w:style w:type="paragraph" w:styleId="816">
    <w:name w:val="Body Text"/>
    <w:basedOn w:val="810"/>
    <w:pPr>
      <w:spacing w:lineRule="auto" w:line="276" w:after="140" w:before="0"/>
    </w:pPr>
  </w:style>
  <w:style w:type="paragraph" w:styleId="817">
    <w:name w:val="List"/>
    <w:basedOn w:val="816"/>
    <w:rPr>
      <w:rFonts w:ascii="PT Astra Serif" w:hAnsi="PT Astra Serif" w:cs="Noto Sans Devanagari"/>
    </w:rPr>
  </w:style>
  <w:style w:type="paragraph" w:styleId="818">
    <w:name w:val="Caption"/>
    <w:basedOn w:val="810"/>
    <w:qFormat/>
    <w:rPr>
      <w:rFonts w:ascii="PT Astra Serif" w:hAnsi="PT Astra Serif" w:cs="Noto Sans Devanagari"/>
      <w:i/>
      <w:iCs/>
      <w:sz w:val="24"/>
      <w:szCs w:val="24"/>
    </w:rPr>
    <w:pPr>
      <w:spacing w:after="120" w:before="120"/>
      <w:suppressLineNumbers/>
    </w:pPr>
  </w:style>
  <w:style w:type="paragraph" w:styleId="819">
    <w:name w:val="Указатель"/>
    <w:basedOn w:val="810"/>
    <w:qFormat/>
    <w:rPr>
      <w:rFonts w:ascii="PT Astra Serif" w:hAnsi="PT Astra Serif" w:cs="Noto Sans Devanagari"/>
    </w:rPr>
    <w:pPr>
      <w:suppressLineNumbers/>
    </w:pPr>
  </w:style>
  <w:style w:type="paragraph" w:styleId="820">
    <w:name w:val="Balloon Text"/>
    <w:basedOn w:val="810"/>
    <w:qFormat/>
    <w:uiPriority w:val="99"/>
    <w:semiHidden/>
    <w:rPr>
      <w:rFonts w:ascii="Tahoma" w:hAnsi="Tahoma" w:cs="Tahoma"/>
      <w:sz w:val="16"/>
      <w:szCs w:val="16"/>
    </w:rPr>
    <w:pPr>
      <w:spacing w:lineRule="auto" w:line="240" w:after="0" w:before="0"/>
    </w:pPr>
  </w:style>
  <w:style w:type="paragraph" w:styleId="821">
    <w:name w:val="Верхний и нижний колонтитулы"/>
    <w:basedOn w:val="810"/>
    <w:qFormat/>
  </w:style>
  <w:style w:type="paragraph" w:styleId="822">
    <w:name w:val="Header"/>
    <w:basedOn w:val="810"/>
    <w:rPr>
      <w:rFonts w:ascii="Times New Roman" w:hAnsi="Times New Roman" w:eastAsia="Times New Roman"/>
      <w:sz w:val="20"/>
      <w:szCs w:val="20"/>
      <w:lang w:eastAsia="ar-SA"/>
    </w:rPr>
    <w:pPr>
      <w:spacing w:lineRule="auto" w:line="240" w:after="0" w:before="0"/>
      <w:tabs>
        <w:tab w:val="clear" w:pos="408" w:leader="none"/>
        <w:tab w:val="center" w:pos="4153" w:leader="none"/>
        <w:tab w:val="right" w:pos="8306" w:leader="none"/>
      </w:tabs>
    </w:pPr>
  </w:style>
  <w:style w:type="paragraph" w:styleId="823" w:customStyle="1">
    <w:name w:val="Основной текст 21"/>
    <w:basedOn w:val="810"/>
    <w:qFormat/>
    <w:rPr>
      <w:rFonts w:ascii="Arial" w:hAnsi="Arial" w:cs="Arial" w:eastAsia="DejaVu Sans Condensed"/>
      <w:sz w:val="20"/>
      <w:szCs w:val="20"/>
      <w:lang w:bidi="hi-IN" w:eastAsia="hi-IN"/>
    </w:rPr>
    <w:pPr>
      <w:spacing w:lineRule="auto" w:line="480" w:after="120" w:before="0"/>
      <w:widowControl w:val="off"/>
    </w:pPr>
  </w:style>
  <w:style w:type="numbering" w:styleId="824" w:default="1">
    <w:name w:val="No List"/>
    <w:qFormat/>
    <w:uiPriority w:val="99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dc:description/>
  <dc:language>ru-RU</dc:language>
  <cp:revision>463</cp:revision>
  <dcterms:created xsi:type="dcterms:W3CDTF">2016-03-14T10:25:00Z</dcterms:created>
  <dcterms:modified xsi:type="dcterms:W3CDTF">2022-02-15T05:54:58Z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