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/>
        <w:drawing>
          <wp:inline distT="0" distB="0" distL="0" distR="0">
            <wp:extent cx="466725" cy="6286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4"/>
          <w:szCs w:val="4"/>
          <w:lang w:eastAsia="ar-SA"/>
        </w:rPr>
      </w:pPr>
      <w:r>
        <w:rPr>
          <w:rFonts w:eastAsia="Times New Roman" w:cs="Times New Roman" w:ascii="Times New Roman" w:hAnsi="Times New Roman"/>
          <w:sz w:val="4"/>
          <w:szCs w:val="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pacing w:val="20"/>
          <w:sz w:val="28"/>
          <w:szCs w:val="28"/>
          <w:lang w:eastAsia="ar-SA"/>
        </w:rPr>
        <w:t>КАНЕВСКОЙ РАЙОН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8"/>
          <w:szCs w:val="8"/>
          <w:lang w:eastAsia="ar-SA"/>
        </w:rPr>
      </w:pPr>
      <w:r>
        <w:rPr>
          <w:rFonts w:eastAsia="Times New Roman" w:cs="Times New Roman" w:ascii="Times New Roman" w:hAnsi="Times New Roman"/>
          <w:b/>
          <w:sz w:val="8"/>
          <w:szCs w:val="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pacing w:val="20"/>
          <w:sz w:val="32"/>
          <w:szCs w:val="32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от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ar-SA"/>
        </w:rPr>
        <w:t>14.10.2020 г.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№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ar-SA"/>
        </w:rPr>
        <w:t>1681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ar-SA"/>
        </w:rPr>
        <w:t>ст-ца Каневская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center" w:pos="4819" w:leader="none"/>
          <w:tab w:val="left" w:pos="8836" w:leader="none"/>
        </w:tabs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>О внесении изменений в постановление администрации муниципального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Lucida Sans Unicode" w:cs="Tahoma"/>
          <w:b/>
          <w:b/>
          <w:bCs/>
          <w:sz w:val="28"/>
          <w:szCs w:val="28"/>
        </w:rPr>
      </w:pPr>
      <w:r>
        <w:rPr>
          <w:rFonts w:eastAsia="Lucida Sans Unicode" w:cs="Tahoma" w:ascii="Times New Roman" w:hAnsi="Times New Roman"/>
          <w:b/>
          <w:bCs/>
          <w:sz w:val="28"/>
          <w:szCs w:val="28"/>
        </w:rPr>
        <w:t xml:space="preserve">образования Каневской район от 28 сентября 2018 года №1404 </w:t>
      </w:r>
      <w:r>
        <w:rPr>
          <w:rFonts w:eastAsia="Times New Roman" w:cs="Times New Roman" w:ascii="Times New Roman" w:hAnsi="Times New Roman"/>
          <w:b/>
          <w:bCs/>
          <w:sz w:val="28"/>
          <w:szCs w:val="32"/>
          <w:lang w:eastAsia="ar-SA"/>
        </w:rPr>
        <w:t>«Об утверждении</w:t>
      </w:r>
      <w:r>
        <w:rPr>
          <w:rFonts w:eastAsia="Times New Roman" w:cs="Times New Roman" w:ascii="Times New Roman" w:hAnsi="Times New Roman"/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bookmarkStart w:id="1" w:name="__DdeLink__120_2221979758"/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ar-SA"/>
        </w:rPr>
        <w:t>В соответствии с Бюджетным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Федеральным законом от 28 июня 2014 года №172-ФЗ «О стратегическом планировании в Российской Федерации»,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муниципального образования Каневской район от 25 октября 2019 года №1872 «О должностных полномочиях заместителей главы муниципального образования Каневской район», а также 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муниципального образования Каневской район  п о с т а н о в л я ю</w:t>
      </w:r>
      <w:bookmarkEnd w:id="1"/>
      <w:r>
        <w:rPr>
          <w:rFonts w:eastAsia="Times New Roman" w:cs="Times New Roman" w:ascii="Times New Roman" w:hAnsi="Times New Roman"/>
          <w:color w:val="000000"/>
          <w:sz w:val="28"/>
          <w:szCs w:val="24"/>
          <w:lang w:eastAsia="ar-SA"/>
        </w:rPr>
        <w:t>:</w:t>
      </w:r>
      <w:r>
        <w:rPr>
          <w:rFonts w:eastAsia="Times New Roman" w:cs="Times New Roman" w:ascii="Times New Roman" w:hAnsi="Times New Roman"/>
          <w:color w:val="000000"/>
          <w:sz w:val="28"/>
          <w:szCs w:val="24"/>
          <w:shd w:fill="FFFFFF" w:val="clear"/>
          <w:lang w:eastAsia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>1. Внести изменения в постановление администрации муниципального образования Каневской район от 28 сентября 2018 года №1404 «Об утверждении муниципальной программы «Экономическое развитие и инновационная экономика муниципального образования Каневской район на 2019-2024 годы» (с изменениями от 10 апреля 2019 года № 665, от 11 декабря 2019 года № 2177, от 4 марта 2020 года № 352, от 20 июля 2020 года № 1015), изложив приложение в новой редакции,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2. </w:t>
      </w:r>
      <w:r>
        <w:rPr>
          <w:rFonts w:eastAsia="Times New Roman" w:cs="Times New Roman" w:ascii="Times New Roman" w:hAnsi="Times New Roman"/>
          <w:sz w:val="28"/>
          <w:szCs w:val="28"/>
        </w:rPr>
        <w:t>Отделу по связям со СМИ и общественностью администрации муниципального образования Каневской район (Данилова) разместить настоящее постановление на официальном сайте муниципального образования Каневской район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Lucida Sans Unicode" w:cs="Times New Roman" w:ascii="Times New Roman" w:hAnsi="Times New Roman"/>
          <w:sz w:val="28"/>
          <w:szCs w:val="28"/>
          <w:lang w:eastAsia="ar-SA"/>
        </w:rPr>
        <w:t xml:space="preserve">3.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Постановление вступает в силу со дня его подписания.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Заместитель главы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муниципального образования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Каневской район</w:t>
        <w:tab/>
        <w:tab/>
      </w:r>
      <w:r>
        <w:rPr>
          <w:rFonts w:eastAsia="Times New Roman" w:cs="Times New Roman" w:ascii="Times New Roman" w:hAnsi="Times New Roman"/>
          <w:sz w:val="28"/>
          <w:szCs w:val="24"/>
          <w:lang w:eastAsia="ar-SA"/>
        </w:rPr>
        <w:t xml:space="preserve">                                                                          Н.Н. Бурба</w:t>
      </w:r>
    </w:p>
    <w:sectPr>
      <w:type w:val="nextPage"/>
      <w:pgSz w:w="11906" w:h="16838"/>
      <w:pgMar w:left="1701" w:right="567" w:header="0" w:top="1134" w:footer="0" w:bottom="22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"/>
    <w:uiPriority w:val="9"/>
    <w:qFormat/>
    <w:rsid w:val="001849b0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"/>
    <w:uiPriority w:val="9"/>
    <w:unhideWhenUsed/>
    <w:qFormat/>
    <w:rsid w:val="001849b0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3"/>
    <w:uiPriority w:val="9"/>
    <w:unhideWhenUsed/>
    <w:qFormat/>
    <w:rsid w:val="001849b0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4"/>
    <w:uiPriority w:val="9"/>
    <w:unhideWhenUsed/>
    <w:qFormat/>
    <w:rsid w:val="001849b0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5"/>
    <w:uiPriority w:val="9"/>
    <w:unhideWhenUsed/>
    <w:qFormat/>
    <w:rsid w:val="001849b0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"/>
    <w:uiPriority w:val="9"/>
    <w:unhideWhenUsed/>
    <w:qFormat/>
    <w:rsid w:val="001849b0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"/>
    <w:uiPriority w:val="9"/>
    <w:unhideWhenUsed/>
    <w:qFormat/>
    <w:rsid w:val="001849b0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"/>
    <w:uiPriority w:val="9"/>
    <w:unhideWhenUsed/>
    <w:qFormat/>
    <w:rsid w:val="001849b0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"/>
    <w:uiPriority w:val="9"/>
    <w:unhideWhenUsed/>
    <w:qFormat/>
    <w:rsid w:val="001849b0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uiPriority w:val="9"/>
    <w:qFormat/>
    <w:rsid w:val="001849b0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link w:val="20"/>
    <w:uiPriority w:val="9"/>
    <w:qFormat/>
    <w:rsid w:val="001849b0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link w:val="Heading3"/>
    <w:uiPriority w:val="9"/>
    <w:qFormat/>
    <w:rsid w:val="001849b0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link w:val="Heading4"/>
    <w:uiPriority w:val="9"/>
    <w:qFormat/>
    <w:rsid w:val="001849b0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link w:val="Heading5"/>
    <w:uiPriority w:val="9"/>
    <w:qFormat/>
    <w:rsid w:val="001849b0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link w:val="Heading6"/>
    <w:uiPriority w:val="9"/>
    <w:qFormat/>
    <w:rsid w:val="001849b0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link w:val="Heading7"/>
    <w:uiPriority w:val="9"/>
    <w:qFormat/>
    <w:rsid w:val="001849b0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link w:val="Heading8"/>
    <w:uiPriority w:val="9"/>
    <w:qFormat/>
    <w:rsid w:val="001849b0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link w:val="Heading9"/>
    <w:uiPriority w:val="9"/>
    <w:qFormat/>
    <w:rsid w:val="001849b0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1849b0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1849b0"/>
    <w:rPr>
      <w:sz w:val="24"/>
      <w:szCs w:val="24"/>
    </w:rPr>
  </w:style>
  <w:style w:type="character" w:styleId="22" w:customStyle="1">
    <w:name w:val="Цитата 2 Знак"/>
    <w:link w:val="21"/>
    <w:uiPriority w:val="29"/>
    <w:qFormat/>
    <w:rsid w:val="001849b0"/>
    <w:rPr>
      <w:i/>
    </w:rPr>
  </w:style>
  <w:style w:type="character" w:styleId="Style7" w:customStyle="1">
    <w:name w:val="Выделенная цитата Знак"/>
    <w:uiPriority w:val="30"/>
    <w:qFormat/>
    <w:rsid w:val="001849b0"/>
    <w:rPr>
      <w:i/>
    </w:rPr>
  </w:style>
  <w:style w:type="character" w:styleId="HeaderChar" w:customStyle="1">
    <w:name w:val="Header Char"/>
    <w:basedOn w:val="DefaultParagraphFont"/>
    <w:uiPriority w:val="99"/>
    <w:qFormat/>
    <w:rsid w:val="001849b0"/>
    <w:rPr/>
  </w:style>
  <w:style w:type="character" w:styleId="FooterChar" w:customStyle="1">
    <w:name w:val="Footer Char"/>
    <w:basedOn w:val="DefaultParagraphFont"/>
    <w:uiPriority w:val="99"/>
    <w:qFormat/>
    <w:rsid w:val="001849b0"/>
    <w:rPr/>
  </w:style>
  <w:style w:type="character" w:styleId="Style8" w:customStyle="1">
    <w:name w:val="Интернет-ссылка"/>
    <w:uiPriority w:val="99"/>
    <w:unhideWhenUsed/>
    <w:rsid w:val="001849b0"/>
    <w:rPr>
      <w:color w:val="0000FF" w:themeColor="hyperlink"/>
      <w:u w:val="single"/>
    </w:rPr>
  </w:style>
  <w:style w:type="character" w:styleId="Style9" w:customStyle="1">
    <w:name w:val="Текст сноски Знак"/>
    <w:uiPriority w:val="99"/>
    <w:qFormat/>
    <w:rsid w:val="001849b0"/>
    <w:rPr>
      <w:sz w:val="18"/>
    </w:rPr>
  </w:style>
  <w:style w:type="character" w:styleId="Style10" w:customStyle="1">
    <w:name w:val="Привязка сноски"/>
    <w:rsid w:val="001849b0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1849b0"/>
    <w:rPr>
      <w:vertAlign w:val="superscript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1849b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1849b0"/>
    <w:rPr>
      <w:rFonts w:ascii="Tahoma" w:hAnsi="Tahoma" w:cs="Tahoma"/>
      <w:sz w:val="16"/>
      <w:szCs w:val="16"/>
    </w:rPr>
  </w:style>
  <w:style w:type="character" w:styleId="Style13" w:customStyle="1">
    <w:name w:val="Гипертекстовая ссылка"/>
    <w:basedOn w:val="DefaultParagraphFont"/>
    <w:uiPriority w:val="99"/>
    <w:qFormat/>
    <w:rsid w:val="001849b0"/>
    <w:rPr>
      <w:color w:val="106BBE"/>
    </w:rPr>
  </w:style>
  <w:style w:type="character" w:styleId="Style14" w:customStyle="1">
    <w:name w:val="Нижний колонтитул Знак"/>
    <w:basedOn w:val="DefaultParagraphFont"/>
    <w:uiPriority w:val="99"/>
    <w:qFormat/>
    <w:rsid w:val="001849b0"/>
    <w:rPr/>
  </w:style>
  <w:style w:type="paragraph" w:styleId="Style15" w:customStyle="1">
    <w:name w:val="Заголовок"/>
    <w:basedOn w:val="Normal"/>
    <w:next w:val="Style16"/>
    <w:qFormat/>
    <w:rsid w:val="001849b0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rsid w:val="001849b0"/>
    <w:pPr>
      <w:spacing w:before="0" w:after="140"/>
    </w:pPr>
    <w:rPr/>
  </w:style>
  <w:style w:type="paragraph" w:styleId="Style17">
    <w:name w:val="List"/>
    <w:basedOn w:val="Style16"/>
    <w:rsid w:val="001849b0"/>
    <w:pPr/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1849b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1849b0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849b0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1849b0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0">
    <w:name w:val="Title"/>
    <w:basedOn w:val="Normal"/>
    <w:next w:val="Normal"/>
    <w:uiPriority w:val="10"/>
    <w:qFormat/>
    <w:rsid w:val="001849b0"/>
    <w:pPr>
      <w:spacing w:before="300" w:after="200"/>
      <w:contextualSpacing/>
    </w:pPr>
    <w:rPr>
      <w:sz w:val="48"/>
      <w:szCs w:val="48"/>
    </w:rPr>
  </w:style>
  <w:style w:type="paragraph" w:styleId="Style21">
    <w:name w:val="Subtitle"/>
    <w:basedOn w:val="Normal"/>
    <w:next w:val="Normal"/>
    <w:uiPriority w:val="11"/>
    <w:qFormat/>
    <w:rsid w:val="001849b0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0"/>
    <w:uiPriority w:val="29"/>
    <w:qFormat/>
    <w:rsid w:val="001849b0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rsid w:val="001849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2" w:customStyle="1">
    <w:name w:val="Footnote Text"/>
    <w:basedOn w:val="Normal"/>
    <w:uiPriority w:val="99"/>
    <w:semiHidden/>
    <w:unhideWhenUsed/>
    <w:rsid w:val="001849b0"/>
    <w:pPr>
      <w:spacing w:lineRule="auto" w:line="240" w:before="0" w:after="40"/>
    </w:pPr>
    <w:rPr>
      <w:sz w:val="18"/>
    </w:rPr>
  </w:style>
  <w:style w:type="paragraph" w:styleId="12" w:customStyle="1">
    <w:name w:val="TOC 1"/>
    <w:basedOn w:val="Normal"/>
    <w:next w:val="Normal"/>
    <w:uiPriority w:val="39"/>
    <w:unhideWhenUsed/>
    <w:rsid w:val="001849b0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1849b0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1849b0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1849b0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1849b0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1849b0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1849b0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1849b0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1849b0"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rsid w:val="001849b0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23" w:customStyle="1">
    <w:name w:val="Верхний и нижний колонтитулы"/>
    <w:basedOn w:val="Normal"/>
    <w:qFormat/>
    <w:rsid w:val="001849b0"/>
    <w:pPr/>
    <w:rPr/>
  </w:style>
  <w:style w:type="paragraph" w:styleId="Style24" w:customStyle="1">
    <w:name w:val="Head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1849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1849b0"/>
    <w:pPr>
      <w:widowControl w:val="fals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ar-SA" w:bidi="ar-SA"/>
    </w:rPr>
  </w:style>
  <w:style w:type="paragraph" w:styleId="Style25" w:customStyle="1">
    <w:name w:val="Прижатый влево"/>
    <w:basedOn w:val="Normal"/>
    <w:next w:val="Normal"/>
    <w:uiPriority w:val="99"/>
    <w:qFormat/>
    <w:rsid w:val="001849b0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Style26" w:customStyle="1">
    <w:name w:val="Footer"/>
    <w:basedOn w:val="Normal"/>
    <w:uiPriority w:val="99"/>
    <w:unhideWhenUsed/>
    <w:rsid w:val="001849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7F7F7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4F81BD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D9959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594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D9959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59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2D69B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2D69B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C2D69B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2D69B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B2A1C7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7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B2A1C7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7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2CDDC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DDC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92CDDC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DDC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1849b0"/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ABF8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BF8F" w:sz="12" w:space="0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color="FABF8F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BF8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BorderedLined">
    <w:name w:val="Bordered &amp; Lined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1849b0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styleId="af9">
    <w:name w:val="Table Grid"/>
    <w:basedOn w:val="a1"/>
    <w:uiPriority w:val="59"/>
    <w:rsid w:val="001849b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Application>LibreOffice/6.3.5.2$Linux_X86_64 LibreOffice_project/30$Build-2</Application>
  <Pages>1</Pages>
  <Words>273</Words>
  <Characters>1841</Characters>
  <CharactersWithSpaces>2265</CharactersWithSpaces>
  <Paragraphs>15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2016-09-21T06:46:00Z</dcterms:created>
  <dc:creator>Ольга Монько</dc:creator>
  <dc:description/>
  <dc:language>ru-RU</dc:language>
  <cp:lastModifiedBy/>
  <cp:lastPrinted>2020-10-14T10:31:37Z</cp:lastPrinted>
  <dcterms:modified xsi:type="dcterms:W3CDTF">2020-10-19T11:18:03Z</dcterms:modified>
  <cp:revision>450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