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инвестиционного проекта</w:t>
      </w:r>
      <w:r/>
    </w:p>
    <w:p>
      <w:pPr>
        <w:pStyle w:val="692"/>
        <w:rPr>
          <w:i w:val="false"/>
          <w:sz w:val="28"/>
          <w:szCs w:val="28"/>
        </w:rPr>
      </w:pPr>
      <w:r>
        <w:rPr>
          <w:i w:val="false"/>
          <w:sz w:val="28"/>
          <w:szCs w:val="28"/>
        </w:rPr>
        <w:t xml:space="preserve">«</w:t>
      </w:r>
      <w:r>
        <w:t xml:space="preserve">Завод по переработке подсолнечника</w:t>
      </w:r>
      <w:r>
        <w:rPr>
          <w:i w:val="false"/>
          <w:sz w:val="28"/>
          <w:szCs w:val="28"/>
        </w:rPr>
        <w:t xml:space="preserve">»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tbl>
      <w:tblPr>
        <w:tblW w:w="9855" w:type="dxa"/>
        <w:tblLook w:val="01E0" w:firstRow="1" w:lastRow="1" w:firstColumn="1" w:lastColumn="1" w:noHBand="0" w:noVBand="0"/>
      </w:tblPr>
      <w:tblGrid>
        <w:gridCol w:w="626"/>
        <w:gridCol w:w="2117"/>
        <w:gridCol w:w="1708"/>
        <w:gridCol w:w="55"/>
        <w:gridCol w:w="1695"/>
        <w:gridCol w:w="873"/>
        <w:gridCol w:w="1230"/>
        <w:gridCol w:w="1551"/>
      </w:tblGrid>
      <w:tr>
        <w:trPr>
          <w:trHeight w:val="62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626" w:type="dxa"/>
            <w:textDirection w:val="lrTb"/>
            <w:noWrap w:val="false"/>
          </w:tcPr>
          <w:p>
            <w:pPr>
              <w:ind w:left="720" w:hanging="720"/>
              <w:jc w:val="center"/>
              <w:spacing w:lineRule="auto" w:line="228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ind w:left="720" w:hanging="720"/>
              <w:jc w:val="center"/>
              <w:spacing w:lineRule="auto" w:line="228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п/п</w:t>
            </w:r>
            <w:r/>
          </w:p>
          <w:p>
            <w:pPr>
              <w:ind w:left="720" w:hanging="720"/>
              <w:jc w:val="center"/>
              <w:spacing w:lineRule="auto" w:line="228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80" w:type="dxa"/>
            <w:textDirection w:val="lrTb"/>
            <w:noWrap w:val="false"/>
          </w:tcPr>
          <w:p>
            <w:pPr>
              <w:ind w:left="720" w:hanging="720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ind w:left="720" w:hanging="720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shd w:val="clear" w:fill="auto" w:color="auto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349" w:type="dxa"/>
            <w:textDirection w:val="lrTb"/>
            <w:noWrap w:val="false"/>
          </w:tcPr>
          <w:p>
            <w:pPr>
              <w:ind w:left="720" w:hanging="720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left="720" w:hanging="720"/>
              <w:jc w:val="center"/>
              <w:spacing w:lineRule="auto" w:line="228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720" w:hanging="720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Общая информация об инвестиционном проекте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Полное наименование проекта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pStyle w:val="692"/>
              <w:jc w:val="left"/>
              <w:rPr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  <w:t xml:space="preserve">Завод по переработке подсолнечника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Территориальная принадлежность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образование Каневской район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Отраслевая принадлежность, код </w:t>
            </w:r>
            <w:hyperlink r:id="rId11" w:tooltip="garantf1://85134.0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ОКВЭД</w:t>
              </w:r>
            </w:hyperlink>
            <w:r/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01.1. Производство  продукции растениеводства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1.4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Краткое описание проекта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ind w:left="-8"/>
              <w:jc w:val="both"/>
              <w:spacing w:lineRule="auto" w:line="240" w:after="0"/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  <w:lang w:eastAsia="ru-RU"/>
              </w:rPr>
              <w:t xml:space="preserve">В рамках настоящего проекта предлагается </w:t>
            </w:r>
            <w:r>
              <w:rPr>
                <w:rFonts w:ascii="Times New Roman" w:hAnsi="Times New Roman" w:cs="Times New Roman" w:eastAsia="Calibri"/>
                <w:color w:val="00000A"/>
                <w:sz w:val="24"/>
                <w:szCs w:val="24"/>
                <w:lang w:eastAsia="ru-RU"/>
              </w:rPr>
              <w:t xml:space="preserve">организация строительства </w:t>
            </w:r>
            <w:bookmarkStart w:id="0" w:name="OLE_LINK3"/>
            <w:r/>
            <w:bookmarkStart w:id="1" w:name="OLE_LINK4"/>
            <w:r>
              <w:rPr>
                <w:rFonts w:ascii="Times New Roman" w:hAnsi="Times New Roman" w:cs="Times New Roman" w:eastAsia="Calibri"/>
                <w:color w:val="00000A"/>
                <w:sz w:val="24"/>
                <w:szCs w:val="24"/>
                <w:lang w:eastAsia="ru-RU"/>
              </w:rPr>
              <w:t xml:space="preserve">завода по переработке подсолнечника на земельном участке, расположенном в Западной промышленной зоне ст. Каневская Каневского района, с последующим производством подсолнечного масла в 2-х литровой таре.  </w:t>
            </w:r>
            <w:bookmarkStart w:id="2" w:name="_Toc352141332"/>
            <w:r/>
            <w:bookmarkEnd w:id="0"/>
            <w:r/>
            <w:bookmarkEnd w:id="1"/>
            <w:r>
              <w:rPr>
                <w:rFonts w:ascii="Times New Roman" w:hAnsi="Times New Roman" w:cs="Times New Roman" w:eastAsia="Calibri"/>
                <w:color w:val="00000A"/>
                <w:sz w:val="24"/>
                <w:szCs w:val="24"/>
                <w:lang w:eastAsia="ru-RU"/>
              </w:rPr>
              <w:t xml:space="preserve">Проект предполагает новое строительство</w:t>
            </w:r>
            <w:bookmarkEnd w:id="2"/>
            <w:r/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1.5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Проектная мощность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ru-RU"/>
              </w:rPr>
              <w:t xml:space="preserve">Мощность проекта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ru-RU"/>
              </w:rPr>
              <w:t xml:space="preserve"> составляет 300 274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ru-RU"/>
              </w:rPr>
              <w:t xml:space="preserve">2-х литрового бутилированного масла в квартал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1.6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Описание рынка потребления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DejaVu Sans"/>
                <w:sz w:val="24"/>
                <w:szCs w:val="24"/>
                <w:lang w:eastAsia="zh-CN"/>
              </w:rPr>
              <w:t xml:space="preserve">В структуре реализации подсолнечника основная доля приходится на Южный федеральный округ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1.7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Срок строительства объекта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год</w:t>
            </w:r>
            <w:r/>
          </w:p>
          <w:p>
            <w:pPr>
              <w:contextualSpacing w:val="true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1.8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Конкурентные преимущества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DejaVu Sans"/>
                <w:color w:val="00000A"/>
                <w:sz w:val="24"/>
                <w:szCs w:val="24"/>
                <w:lang w:eastAsia="zh-CN"/>
              </w:rPr>
              <w:t xml:space="preserve">Продукция завода будет менее дорогостоящей, благодаря минимальному плечу доставки. Ближайшие заводы-конкуренты находятся в г.</w:t>
            </w:r>
            <w:r>
              <w:rPr>
                <w:rFonts w:ascii="Times New Roman" w:hAnsi="Times New Roman" w:cs="Times New Roman" w:eastAsia="DejaVu Sans"/>
                <w:color w:val="00000A"/>
                <w:sz w:val="24"/>
                <w:szCs w:val="24"/>
                <w:lang w:eastAsia="zh-CN"/>
              </w:rPr>
              <w:t xml:space="preserve"> Ростов-на Дону,</w:t>
            </w:r>
            <w:r>
              <w:rPr>
                <w:rFonts w:ascii="Times New Roman" w:hAnsi="Times New Roman" w:cs="Times New Roman" w:eastAsia="DejaVu Sans"/>
                <w:color w:val="00000A"/>
                <w:sz w:val="24"/>
                <w:szCs w:val="24"/>
                <w:lang w:eastAsia="zh-CN"/>
              </w:rPr>
              <w:t xml:space="preserve"> Армавир, Краснодар, Лабинск</w:t>
            </w:r>
            <w:r>
              <w:rPr>
                <w:rFonts w:ascii="Times New Roman" w:hAnsi="Times New Roman" w:cs="Times New Roman" w:eastAsia="DejaVu Sans"/>
                <w:color w:val="00000A"/>
                <w:sz w:val="24"/>
                <w:szCs w:val="24"/>
                <w:lang w:eastAsia="zh-CN"/>
              </w:rPr>
              <w:t xml:space="preserve">, Кропоткин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1.9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Наличие ресурсов для реализации проекта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проекта выделен земельный участок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1.10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Текущие результаты по проекту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бизнес-план, получены предварительные технические условия</w:t>
            </w:r>
            <w:r/>
          </w:p>
        </w:tc>
      </w:tr>
      <w:tr>
        <w:trPr>
          <w:trHeight w:val="410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left="720" w:hanging="720"/>
              <w:jc w:val="center"/>
              <w:spacing w:lineRule="auto" w:line="228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720" w:hanging="720"/>
              <w:jc w:val="center"/>
              <w:spacing w:lineRule="auto" w:line="228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Планируемый объем потребления ресурсов (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годовой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rHeight w:val="333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Электроэнергия, МВт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Газ, млн. м куб.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</w:t>
            </w:r>
            <w:r/>
          </w:p>
        </w:tc>
      </w:tr>
      <w:tr>
        <w:trPr>
          <w:trHeight w:val="419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2.3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Вода, млн. м куб.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431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Финансовая оценка проекта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Общая стоимость проекта, млн. руб.,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в том числе: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ru-RU"/>
              </w:rPr>
              <w:t xml:space="preserve">150,186</w:t>
            </w:r>
            <w:r/>
          </w:p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Собственные средства, млн. руб.: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ru-RU"/>
              </w:rPr>
              <w:t xml:space="preserve">150,186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3.3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ind w:right="-141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Средства краевого (муниципального) бюджета, млн. руб.: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0,00</w:t>
            </w:r>
            <w:r/>
          </w:p>
          <w:p>
            <w:pPr>
              <w:contextualSpacing w:val="true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3.4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Ранее привлеченные средства, млн. руб.: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3.5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Потребность в инвестициях, млн. руб.: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ru-RU"/>
              </w:rPr>
              <w:t xml:space="preserve">150,186</w:t>
            </w:r>
            <w:r/>
          </w:p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3.6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Формы инвестирования (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условия участия инвестора):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инвестиции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3.7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Форма возврата инвестиций: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Денежная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3.8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Срок возврата инвестиций: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439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Основные показатели экономической эффективности инвестиционного проекта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Чистый дисконтированный доход (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NPV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), млн. руб.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4"/>
                <w:szCs w:val="24"/>
                <w:lang w:eastAsia="ru-RU"/>
              </w:rPr>
              <w:t xml:space="preserve">29,186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Простой срок окупаемости, лет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4.3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Дисконтированный срок окупаемости, лет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5,75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4.4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Внутренняя норма доходности (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IRR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4.5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Индекс прибыльности (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PI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4.6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Валовая выручка, млн. руб. в год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zh-CN"/>
              </w:rPr>
              <w:t xml:space="preserve">119, 809 </w:t>
            </w:r>
            <w:r/>
          </w:p>
        </w:tc>
      </w:tr>
      <w:tr>
        <w:trPr>
          <w:trHeight w:val="39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Социальная эффективность инвестиционного проекта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Число рабочих мест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4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Средний уровень заработной платы 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тыс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руб. в год)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411, 176</w:t>
            </w:r>
            <w:r/>
          </w:p>
          <w:p>
            <w:pPr>
              <w:contextualSpacing w:val="true"/>
              <w:spacing w:lineRule="auto" w:line="228" w:after="0"/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val="en-US" w:eastAsia="ru-RU"/>
              </w:rPr>
            </w:r>
            <w:r/>
          </w:p>
        </w:tc>
      </w:tr>
      <w:tr>
        <w:trPr>
          <w:trHeight w:val="469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Бюджетная эффективность инвестиционного проекта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Среднегодовая сумма налоговых платежей, млн. руб.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28,56</w:t>
            </w:r>
            <w:r/>
          </w:p>
          <w:p>
            <w:pPr>
              <w:contextualSpacing w:val="true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ind w:right="-141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том числе в консолидированный бюджет края, млн. руб.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9,96</w:t>
            </w:r>
            <w:r/>
          </w:p>
        </w:tc>
      </w:tr>
      <w:tr>
        <w:trPr>
          <w:trHeight w:val="353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Основные сведения о земельном участке </w:t>
            </w: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(при наличии)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Адрес 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Каневской район, ст. Каневская, западная промышленная зона, 17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Кадастровый учет земельного участка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16.09.2014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7.3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Кадастровый номер 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/>
            <w:bookmarkStart w:id="3" w:name="__DdeLink__13761_222243076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23:11:0603320:157</w:t>
            </w:r>
            <w:bookmarkEnd w:id="3"/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7.4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Площадь декларированная (м2)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84173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7.5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Категория земель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7.6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Вид разрешенного использования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7.7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Фактическое использование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7.8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Наличие зданий, строений, сооружений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Отсутствуют, участок свободен от застройки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7.9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Разрешительная, градостроительная документация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DejaVu Sans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DejaVu Sans"/>
                <w:sz w:val="24"/>
                <w:szCs w:val="24"/>
                <w:lang w:eastAsia="zh-CN"/>
              </w:rPr>
              <w:t xml:space="preserve">Генеральный план Каневского сельского поселения Каневского района, утвержденный решением Совета Каневского сельского поселения Каневского района от 27 декабря 2010 года №80 (в ред. от 28.02.2013 г. №195, от 18.04.2013 г. №202, от 30.01.2014 г. №234, от </w:t>
            </w:r>
            <w:r>
              <w:rPr>
                <w:rFonts w:ascii="Times New Roman" w:hAnsi="Times New Roman" w:cs="Times New Roman" w:eastAsia="DejaVu Sans"/>
                <w:sz w:val="24"/>
                <w:szCs w:val="24"/>
                <w:lang w:eastAsia="zh-CN"/>
              </w:rPr>
              <w:t xml:space="preserve">28.08.2015 г. №50, от 25.11.2016 г. №134, от 29.11.2017 г. №194) и Правила землепользования и застройки Каневского сельского поселения Каневского рай</w:t>
            </w:r>
            <w:r>
              <w:rPr>
                <w:rFonts w:ascii="Times New Roman" w:hAnsi="Times New Roman" w:cs="Times New Roman" w:eastAsia="DejaVu Sans"/>
                <w:sz w:val="24"/>
                <w:szCs w:val="24"/>
                <w:lang w:eastAsia="zh-CN"/>
              </w:rPr>
              <w:t xml:space="preserve">она, утвержденные решением Совета Каневского сельского поселения Каневского района от 15 октября 2014 года №6 (в ред. от 25.11.2016 г. №133, от 27.12.2016 г. №140, от 29.09.2017 г. №180, от 27.02.2018 г. №217, от 05.02.2019 г. №265, от 26.04.2019 г. №276).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Сведения о собственнике (правообладателе) земельного участка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Собственник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собственность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Правообладатель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Каневской район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8.3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Вид права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зарегистрировано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Сведения об обременениях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Вид обременения, ограничения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restart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Характеристика существующей инженерной инфраструктуры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Вид инфраструктуры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Показатель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Примечание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restart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Электроснабжение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</w:t>
            </w:r>
            <w:r/>
          </w:p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питания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наименование, собственник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/>
            <w:bookmarkStart w:id="4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Россети Кубань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Тимашевские электрические сети</w:t>
            </w:r>
            <w:bookmarkEnd w:id="4"/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ind w:left="-98"/>
              <w:jc w:val="center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класс напряжения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Низший класс напряжения – до 1 кВ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свободная мощность (МВт)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Ближайшая точка подключения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напряжение в сети, кВ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restart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Газоснабжение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Газопровод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наименование, собственник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«Газпром газораспределение Краснодар»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диаметр (мм)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давление (МПа)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низкого давления – до 0,005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пропускная способность (куб. м. в сутки)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900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Ближайшая точка подключения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наименование, собственник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«Газпром газораспределение Краснодар»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6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диаметр (мм)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left="34"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давление (МПа)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низкого давления – до 0,005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пропускная способность (куб. м. в сутки)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restart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Водоснабжение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Источник водоснабжения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собственник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Собственная скважина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На территории участка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мощность (куб.м.в сут.)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качество воды 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питьевая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36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Ближайшая точка подключения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мощность (куб.м.в сут.)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диаметр (мм)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restart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Канализация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Тип сооружений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Наименование, собственник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очистные сооружения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ind w:left="-108" w:right="-144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мощность (куб.м.в сут.)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Ближайшая точка подключения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мощность (куб.м.в сут.)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ind w:left="-108" w:right="-144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диаметр (мм)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restart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10.5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Телефонизация/</w:t>
            </w:r>
            <w:r/>
          </w:p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интернет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ind w:right="-141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сеть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расстояние (м)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vMerge w:val="continue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Мобильная связь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5" w:type="dxa"/>
            <w:textDirection w:val="lrTb"/>
            <w:noWrap w:val="false"/>
          </w:tcPr>
          <w:p>
            <w:pPr>
              <w:ind w:right="-119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расстояние (м)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Расстояние до крупных населенных пунктов и объектов транспортной инфраструктуры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Удаленность от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Название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Расстояние (км)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11.1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административного центра муниципального образования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Каневская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11.2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ближайшего населенного пункта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Каневская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11.3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города Краснодара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120.00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11.4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автодороги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- Ейск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11.5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ближайшей железнодорожной станции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Каневская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11.6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Каневская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11.7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аэропорта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130.00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11.8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морского порта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Ейск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120.00</w:t>
            </w:r>
            <w:r/>
          </w:p>
        </w:tc>
      </w:tr>
      <w:tr>
        <w:trPr/>
        <w:tc>
          <w:tcPr>
            <w:gridSpan w:val="8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Дополнительная информация о земельном участке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Особые условия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умеренно-континентальный. Согласно климатическому районированию это зона ШБ. Среднегодовое количество осадков – 500 мм, мощность снегового покрова – 14 см. По данным карт районирования климатических характеристик территория станицы относится: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Стоимость приобретения права аренды (собственности) земельного участка, млн. руб.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12.3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Координаты (долгота, широта)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r/>
            <w:hyperlink r:id="rId12" w:tooltip="https://egrp365.org/map/?x=46.06247722893931&amp;y=38.942171740676386&amp;zoom=18&amp;layer=2" w:history="1">
              <w:r>
                <w:rPr>
                  <w:rStyle w:val="68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46.062477, 38.942172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12.4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Примечания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8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55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Контактные данные</w:t>
            </w:r>
            <w:r/>
          </w:p>
        </w:tc>
      </w:tr>
      <w:tr>
        <w:trPr>
          <w:trHeight w:val="2273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13.1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Данные об инициаторе (инвесторе) проекта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pPr>
              <w:jc w:val="both"/>
              <w:spacing w:lineRule="auto" w:line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Наименование/Ф.И.О.: </w:t>
            </w:r>
            <w:r/>
          </w:p>
          <w:p>
            <w:pPr>
              <w:jc w:val="both"/>
              <w:spacing w:lineRule="auto" w:line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Каневской район Почтовый адрес: 353730 ст. Каневская, ул. Горького, 60</w:t>
            </w:r>
            <w:r/>
          </w:p>
          <w:p>
            <w:pPr>
              <w:jc w:val="both"/>
              <w:spacing w:lineRule="auto" w:line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Сайт: www.kaninvest.ru</w:t>
            </w:r>
            <w:r/>
          </w:p>
          <w:p>
            <w:pPr>
              <w:spacing w:lineRule="auto" w:line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(86164) 7-54-07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@kanevskadm.r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right="-166"/>
              <w:jc w:val="both"/>
              <w:spacing w:lineRule="auto" w:line="228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13.2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Данные о заявителе 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органа исполнительной власти края/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органа местного самоуправления)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9" w:type="dxa"/>
            <w:textDirection w:val="lrTb"/>
            <w:noWrap w:val="false"/>
          </w:tcPr>
          <w:p>
            <w:r/>
            <w:r/>
          </w:p>
        </w:tc>
      </w:tr>
    </w:tbl>
    <w:p>
      <w:pPr>
        <w:spacing w:lineRule="auto" w:line="24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Инициатор:  Администрация муниципального образования Каневской район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4536"/>
        <w:jc w:val="center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4536"/>
        <w:jc w:val="center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4536"/>
        <w:jc w:val="center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4536"/>
        <w:jc w:val="center"/>
        <w:spacing w:lineRule="auto" w:line="240" w:after="0"/>
      </w:pPr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1" w:right="566" w:bottom="426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Calibri">
    <w:panose1 w:val="020F0502020204030204"/>
  </w:font>
  <w:font w:name="Noto Sans Devanagari">
    <w:panose1 w:val="020B050204050402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9178882"/>
      <w:rPr/>
    </w:sdtPr>
    <w:sdtContent>
      <w:p>
        <w:pPr>
          <w:pStyle w:val="69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66799553"/>
      <w:rPr/>
    </w:sdtPr>
    <w:sdtContent>
      <w:p>
        <w:pPr>
          <w:pStyle w:val="69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699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2"/>
    <w:next w:val="68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8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2"/>
    <w:next w:val="68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8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2"/>
    <w:next w:val="68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8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2"/>
    <w:next w:val="68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8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2"/>
    <w:next w:val="68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8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2"/>
    <w:next w:val="68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8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2"/>
    <w:next w:val="68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8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2"/>
    <w:next w:val="68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8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2"/>
    <w:next w:val="68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8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683"/>
    <w:link w:val="692"/>
    <w:uiPriority w:val="10"/>
    <w:rPr>
      <w:sz w:val="48"/>
      <w:szCs w:val="48"/>
    </w:rPr>
  </w:style>
  <w:style w:type="paragraph" w:styleId="34">
    <w:name w:val="Subtitle"/>
    <w:basedOn w:val="682"/>
    <w:next w:val="68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83"/>
    <w:link w:val="34"/>
    <w:uiPriority w:val="11"/>
    <w:rPr>
      <w:sz w:val="24"/>
      <w:szCs w:val="24"/>
    </w:rPr>
  </w:style>
  <w:style w:type="paragraph" w:styleId="36">
    <w:name w:val="Quote"/>
    <w:basedOn w:val="682"/>
    <w:next w:val="68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2"/>
    <w:next w:val="68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3"/>
    <w:link w:val="699"/>
    <w:uiPriority w:val="99"/>
  </w:style>
  <w:style w:type="character" w:styleId="43">
    <w:name w:val="Footer Char"/>
    <w:basedOn w:val="683"/>
    <w:link w:val="700"/>
    <w:uiPriority w:val="99"/>
  </w:style>
  <w:style w:type="character" w:styleId="45">
    <w:name w:val="Caption Char"/>
    <w:basedOn w:val="695"/>
    <w:link w:val="700"/>
    <w:uiPriority w:val="99"/>
  </w:style>
  <w:style w:type="table" w:styleId="47">
    <w:name w:val="Table Grid Light"/>
    <w:basedOn w:val="68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3"/>
    <w:uiPriority w:val="99"/>
    <w:unhideWhenUsed/>
    <w:rPr>
      <w:vertAlign w:val="superscript"/>
    </w:rPr>
  </w:style>
  <w:style w:type="paragraph" w:styleId="176">
    <w:name w:val="endnote text"/>
    <w:basedOn w:val="68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3"/>
    <w:uiPriority w:val="99"/>
    <w:semiHidden/>
    <w:unhideWhenUsed/>
    <w:rPr>
      <w:vertAlign w:val="superscript"/>
    </w:rPr>
  </w:style>
  <w:style w:type="paragraph" w:styleId="179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lineRule="auto" w:line="276" w:after="200"/>
    </w:p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Текст выноски Знак"/>
    <w:basedOn w:val="683"/>
    <w:qFormat/>
    <w:uiPriority w:val="99"/>
    <w:semiHidden/>
    <w:rPr>
      <w:rFonts w:ascii="Tahoma" w:hAnsi="Tahoma" w:cs="Tahoma"/>
      <w:sz w:val="16"/>
      <w:szCs w:val="16"/>
    </w:rPr>
  </w:style>
  <w:style w:type="character" w:styleId="687" w:customStyle="1">
    <w:name w:val="Верхний колонтитул Знак"/>
    <w:basedOn w:val="683"/>
    <w:qFormat/>
    <w:uiPriority w:val="99"/>
  </w:style>
  <w:style w:type="character" w:styleId="688" w:customStyle="1">
    <w:name w:val="Нижний колонтитул Знак"/>
    <w:basedOn w:val="683"/>
    <w:qFormat/>
    <w:uiPriority w:val="99"/>
  </w:style>
  <w:style w:type="character" w:styleId="689" w:customStyle="1">
    <w:name w:val="Интернет-ссылка"/>
    <w:basedOn w:val="683"/>
    <w:uiPriority w:val="99"/>
    <w:semiHidden/>
    <w:unhideWhenUsed/>
    <w:rPr>
      <w:color w:val="0000FF"/>
      <w:u w:val="single"/>
    </w:rPr>
  </w:style>
  <w:style w:type="character" w:styleId="690" w:customStyle="1">
    <w:name w:val="Гипертекстовая ссылка"/>
    <w:basedOn w:val="683"/>
    <w:qFormat/>
    <w:uiPriority w:val="99"/>
    <w:rPr>
      <w:rFonts w:cs="Times New Roman"/>
      <w:b w:val="false"/>
      <w:color w:val="106BBE"/>
    </w:rPr>
  </w:style>
  <w:style w:type="character" w:styleId="691" w:customStyle="1">
    <w:name w:val="Заголовок Знак"/>
    <w:basedOn w:val="683"/>
    <w:qFormat/>
    <w:rPr>
      <w:rFonts w:ascii="Times New Roman" w:hAnsi="Times New Roman" w:cs="Times New Roman" w:eastAsia="Times New Roman"/>
      <w:i/>
      <w:sz w:val="28"/>
      <w:szCs w:val="20"/>
      <w:lang w:eastAsia="ru-RU"/>
    </w:rPr>
  </w:style>
  <w:style w:type="paragraph" w:styleId="692">
    <w:name w:val="Title"/>
    <w:basedOn w:val="682"/>
    <w:next w:val="693"/>
    <w:qFormat/>
    <w:rPr>
      <w:rFonts w:ascii="Times New Roman" w:hAnsi="Times New Roman" w:cs="Times New Roman" w:eastAsia="Times New Roman"/>
      <w:i/>
      <w:sz w:val="28"/>
      <w:szCs w:val="20"/>
      <w:lang w:eastAsia="ru-RU"/>
    </w:rPr>
    <w:pPr>
      <w:jc w:val="center"/>
      <w:spacing w:lineRule="auto" w:line="240" w:after="0"/>
    </w:pPr>
  </w:style>
  <w:style w:type="paragraph" w:styleId="693">
    <w:name w:val="Body Text"/>
    <w:basedOn w:val="682"/>
    <w:pPr>
      <w:spacing w:after="140"/>
    </w:pPr>
  </w:style>
  <w:style w:type="paragraph" w:styleId="694">
    <w:name w:val="List"/>
    <w:basedOn w:val="693"/>
    <w:rPr>
      <w:rFonts w:ascii="PT Astra Serif" w:hAnsi="PT Astra Serif" w:cs="Noto Sans Devanagari"/>
    </w:rPr>
  </w:style>
  <w:style w:type="paragraph" w:styleId="695">
    <w:name w:val="Caption"/>
    <w:basedOn w:val="682"/>
    <w:qFormat/>
    <w:rPr>
      <w:rFonts w:ascii="PT Astra Serif" w:hAnsi="PT Astra Serif" w:cs="Noto Sans Devanagari"/>
      <w:i/>
      <w:iCs/>
      <w:sz w:val="24"/>
      <w:szCs w:val="24"/>
    </w:rPr>
    <w:pPr>
      <w:spacing w:after="120" w:before="120"/>
      <w:suppressLineNumbers/>
    </w:pPr>
  </w:style>
  <w:style w:type="paragraph" w:styleId="696">
    <w:name w:val="index heading"/>
    <w:basedOn w:val="682"/>
    <w:qFormat/>
    <w:rPr>
      <w:rFonts w:ascii="PT Astra Serif" w:hAnsi="PT Astra Serif" w:cs="Noto Sans Devanagari"/>
    </w:rPr>
    <w:pPr>
      <w:suppressLineNumbers/>
    </w:pPr>
  </w:style>
  <w:style w:type="paragraph" w:styleId="697">
    <w:name w:val="Balloon Text"/>
    <w:basedOn w:val="682"/>
    <w:qFormat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paragraph" w:styleId="698" w:customStyle="1">
    <w:name w:val="Верхний и нижний колонтитулы"/>
    <w:basedOn w:val="682"/>
    <w:qFormat/>
  </w:style>
  <w:style w:type="paragraph" w:styleId="699">
    <w:name w:val="Header"/>
    <w:basedOn w:val="68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700">
    <w:name w:val="Footer"/>
    <w:basedOn w:val="68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701" w:customStyle="1">
    <w:name w:val="Default"/>
    <w:qFormat/>
    <w:rPr>
      <w:rFonts w:ascii="Times New Roman" w:hAnsi="Times New Roman" w:cs="Times New Roman" w:eastAsia="Calibri"/>
      <w:color w:val="000000"/>
      <w:sz w:val="24"/>
      <w:szCs w:val="24"/>
    </w:rPr>
  </w:style>
  <w:style w:type="paragraph" w:styleId="702">
    <w:name w:val="List Paragraph"/>
    <w:basedOn w:val="682"/>
    <w:qFormat/>
    <w:uiPriority w:val="34"/>
    <w:pPr>
      <w:contextualSpacing w:val="true"/>
      <w:ind w:left="720"/>
    </w:pPr>
  </w:style>
  <w:style w:type="paragraph" w:styleId="703" w:customStyle="1">
    <w:name w:val="Прижатый влево"/>
    <w:basedOn w:val="682"/>
    <w:next w:val="682"/>
    <w:qFormat/>
    <w:uiPriority w:val="99"/>
    <w:rPr>
      <w:rFonts w:ascii="Arial" w:hAnsi="Arial" w:cs="Arial" w:eastAsiaTheme="minorEastAsia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704">
    <w:name w:val="Normal (Web)"/>
    <w:basedOn w:val="682"/>
    <w:qFormat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Autospacing="1" w:beforeAutospacing="1"/>
    </w:pPr>
  </w:style>
  <w:style w:type="table" w:styleId="705">
    <w:name w:val="Table Grid"/>
    <w:basedOn w:val="68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garantf1://85134.0" TargetMode="External"/><Relationship Id="rId12" Type="http://schemas.openxmlformats.org/officeDocument/2006/relationships/hyperlink" Target="https://egrp365.org/map/?x=46.06247722893931&amp;y=38.942171740676386&amp;zoom=18&amp;layer=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dc:language>ru-RU</dc:language>
  <cp:revision>4</cp:revision>
  <dcterms:created xsi:type="dcterms:W3CDTF">2021-04-05T16:03:00Z</dcterms:created>
  <dcterms:modified xsi:type="dcterms:W3CDTF">2022-03-01T14:02:58Z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